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600E" w:rsidRDefault="00BB600E">
      <w:pPr>
        <w:widowControl w:val="0"/>
        <w:pBdr>
          <w:top w:val="nil"/>
          <w:left w:val="nil"/>
          <w:bottom w:val="nil"/>
          <w:right w:val="nil"/>
          <w:between w:val="nil"/>
        </w:pBdr>
        <w:spacing w:line="276" w:lineRule="auto"/>
      </w:pPr>
    </w:p>
    <w:p w:rsidR="00BB600E" w:rsidRDefault="00BB600E">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pPr w:leftFromText="141" w:rightFromText="141" w:vertAnchor="page" w:horzAnchor="margin" w:tblpXSpec="right" w:tblpY="346"/>
        <w:tblW w:w="5326" w:type="dxa"/>
        <w:tblInd w:w="0" w:type="dxa"/>
        <w:tblLayout w:type="fixed"/>
        <w:tblLook w:val="0400" w:firstRow="0" w:lastRow="0" w:firstColumn="0" w:lastColumn="0" w:noHBand="0" w:noVBand="1"/>
      </w:tblPr>
      <w:tblGrid>
        <w:gridCol w:w="5326"/>
      </w:tblGrid>
      <w:tr w:rsidR="00BB600E">
        <w:trPr>
          <w:trHeight w:val="981"/>
        </w:trPr>
        <w:tc>
          <w:tcPr>
            <w:tcW w:w="5326" w:type="dxa"/>
            <w:shd w:val="clear" w:color="auto" w:fill="auto"/>
          </w:tcPr>
          <w:p w:rsidR="00BB600E" w:rsidRDefault="00BB600E">
            <w:pPr>
              <w:rPr>
                <w:rFonts w:ascii="Arial" w:eastAsia="Arial" w:hAnsi="Arial" w:cs="Arial"/>
                <w:b/>
                <w:sz w:val="22"/>
                <w:szCs w:val="22"/>
              </w:rPr>
            </w:pPr>
          </w:p>
        </w:tc>
      </w:tr>
    </w:tbl>
    <w:p w:rsidR="00BB600E" w:rsidRDefault="00BB600E">
      <w:pPr>
        <w:jc w:val="right"/>
        <w:rPr>
          <w:rFonts w:ascii="Arial" w:eastAsia="Arial" w:hAnsi="Arial" w:cs="Arial"/>
          <w:b/>
          <w:sz w:val="22"/>
          <w:szCs w:val="22"/>
        </w:rPr>
      </w:pPr>
    </w:p>
    <w:p w:rsidR="00BB600E" w:rsidRDefault="00BB600E">
      <w:pPr>
        <w:rPr>
          <w:rFonts w:ascii="Arial" w:eastAsia="Arial" w:hAnsi="Arial" w:cs="Arial"/>
          <w:b/>
          <w:sz w:val="22"/>
          <w:szCs w:val="22"/>
        </w:rPr>
      </w:pPr>
    </w:p>
    <w:p w:rsidR="00BB600E" w:rsidRDefault="00BB600E">
      <w:pPr>
        <w:rPr>
          <w:rFonts w:ascii="Arial" w:eastAsia="Arial" w:hAnsi="Arial" w:cs="Arial"/>
          <w:b/>
          <w:sz w:val="22"/>
          <w:szCs w:val="22"/>
        </w:rPr>
      </w:pPr>
    </w:p>
    <w:p w:rsidR="00BB600E" w:rsidRDefault="00BB600E">
      <w:pPr>
        <w:rPr>
          <w:rFonts w:ascii="Arial" w:eastAsia="Arial" w:hAnsi="Arial" w:cs="Arial"/>
          <w:b/>
          <w:sz w:val="22"/>
          <w:szCs w:val="22"/>
        </w:rPr>
      </w:pPr>
    </w:p>
    <w:p w:rsidR="00BB600E" w:rsidRDefault="00BB600E">
      <w:pPr>
        <w:rPr>
          <w:rFonts w:ascii="Arial" w:eastAsia="Arial" w:hAnsi="Arial" w:cs="Arial"/>
          <w:b/>
          <w:sz w:val="22"/>
          <w:szCs w:val="22"/>
        </w:rPr>
      </w:pPr>
    </w:p>
    <w:p w:rsidR="00BB600E" w:rsidRDefault="00BB600E">
      <w:pPr>
        <w:rPr>
          <w:rFonts w:ascii="Arial" w:eastAsia="Arial" w:hAnsi="Arial" w:cs="Arial"/>
          <w:color w:val="808080"/>
          <w:sz w:val="22"/>
          <w:szCs w:val="22"/>
        </w:rPr>
        <w:sectPr w:rsidR="00BB600E">
          <w:headerReference w:type="default" r:id="rId8"/>
          <w:footerReference w:type="default" r:id="rId9"/>
          <w:pgSz w:w="12240" w:h="15840"/>
          <w:pgMar w:top="2268" w:right="1418" w:bottom="2268" w:left="1418" w:header="0" w:footer="0" w:gutter="0"/>
          <w:pgNumType w:start="1"/>
          <w:cols w:space="720"/>
        </w:sectPr>
      </w:pPr>
    </w:p>
    <w:p w:rsidR="00BB600E" w:rsidRDefault="00B277E4">
      <w:pPr>
        <w:jc w:val="center"/>
        <w:rPr>
          <w:rFonts w:ascii="Arial" w:eastAsia="Arial" w:hAnsi="Arial" w:cs="Arial"/>
          <w:b/>
        </w:rPr>
      </w:pPr>
      <w:r>
        <w:rPr>
          <w:rFonts w:ascii="Arial" w:eastAsia="Arial" w:hAnsi="Arial" w:cs="Arial"/>
          <w:b/>
        </w:rPr>
        <w:t>SECRETARIA DISTRITAL DE AMBIENTE</w:t>
      </w:r>
    </w:p>
    <w:p w:rsidR="00BB600E" w:rsidRDefault="00B277E4">
      <w:pPr>
        <w:tabs>
          <w:tab w:val="left" w:pos="567"/>
        </w:tabs>
        <w:jc w:val="center"/>
        <w:rPr>
          <w:rFonts w:ascii="Arial" w:eastAsia="Arial" w:hAnsi="Arial" w:cs="Arial"/>
          <w:b/>
        </w:rPr>
      </w:pPr>
      <w:r>
        <w:rPr>
          <w:rFonts w:ascii="Arial" w:eastAsia="Arial" w:hAnsi="Arial" w:cs="Arial"/>
          <w:b/>
        </w:rPr>
        <w:t>DIRECCIÓN DE CONTROL AMBIENTAL</w:t>
      </w:r>
    </w:p>
    <w:p w:rsidR="00BB600E" w:rsidRDefault="00BB600E">
      <w:pPr>
        <w:tabs>
          <w:tab w:val="left" w:pos="567"/>
        </w:tabs>
        <w:jc w:val="center"/>
        <w:rPr>
          <w:rFonts w:ascii="Arial" w:eastAsia="Arial" w:hAnsi="Arial" w:cs="Arial"/>
          <w:b/>
          <w:sz w:val="23"/>
          <w:szCs w:val="23"/>
        </w:rPr>
      </w:pPr>
    </w:p>
    <w:p w:rsidR="00BB600E" w:rsidRDefault="00B277E4">
      <w:pPr>
        <w:tabs>
          <w:tab w:val="left" w:pos="567"/>
        </w:tabs>
        <w:jc w:val="center"/>
        <w:rPr>
          <w:rFonts w:ascii="Arial" w:eastAsia="Arial" w:hAnsi="Arial" w:cs="Arial"/>
          <w:sz w:val="23"/>
          <w:szCs w:val="23"/>
        </w:rPr>
      </w:pPr>
      <w:r>
        <w:rPr>
          <w:rFonts w:ascii="Arial" w:eastAsia="Arial" w:hAnsi="Arial" w:cs="Arial"/>
          <w:b/>
          <w:sz w:val="23"/>
          <w:szCs w:val="23"/>
        </w:rPr>
        <w:t>Informe Técnico No. XXXXX, xxx de  xxxxxxx del  xxxxx</w:t>
      </w:r>
      <w:bookmarkStart w:id="2" w:name="bookmark=id.gjdgxs" w:colFirst="0" w:colLast="0"/>
      <w:bookmarkStart w:id="3" w:name="bookmark=id.30j0zll" w:colFirst="0" w:colLast="0"/>
      <w:bookmarkStart w:id="4" w:name="bookmark=id.1fob9te" w:colFirst="0" w:colLast="0"/>
      <w:bookmarkStart w:id="5" w:name="bookmark=id.3znysh7" w:colFirst="0" w:colLast="0"/>
      <w:bookmarkEnd w:id="2"/>
      <w:bookmarkEnd w:id="3"/>
      <w:bookmarkEnd w:id="4"/>
      <w:bookmarkEnd w:id="5"/>
    </w:p>
    <w:p w:rsidR="00BB600E" w:rsidRDefault="00BB600E">
      <w:pPr>
        <w:tabs>
          <w:tab w:val="left" w:pos="567"/>
        </w:tabs>
        <w:rPr>
          <w:rFonts w:ascii="Arial" w:eastAsia="Arial" w:hAnsi="Arial" w:cs="Arial"/>
          <w:sz w:val="23"/>
          <w:szCs w:val="23"/>
        </w:rPr>
        <w:sectPr w:rsidR="00BB600E">
          <w:type w:val="continuous"/>
          <w:pgSz w:w="12240" w:h="15840"/>
          <w:pgMar w:top="2268" w:right="1418" w:bottom="2268" w:left="1418" w:header="0" w:footer="0" w:gutter="0"/>
          <w:cols w:space="720"/>
        </w:sectPr>
      </w:pPr>
    </w:p>
    <w:p w:rsidR="00BB600E" w:rsidRDefault="00BB600E">
      <w:pPr>
        <w:widowControl w:val="0"/>
        <w:pBdr>
          <w:top w:val="nil"/>
          <w:left w:val="nil"/>
          <w:bottom w:val="nil"/>
          <w:right w:val="nil"/>
          <w:between w:val="nil"/>
        </w:pBdr>
        <w:spacing w:line="276" w:lineRule="auto"/>
        <w:rPr>
          <w:rFonts w:ascii="Arial" w:eastAsia="Arial" w:hAnsi="Arial" w:cs="Arial"/>
          <w:sz w:val="23"/>
          <w:szCs w:val="23"/>
        </w:rPr>
      </w:pPr>
    </w:p>
    <w:tbl>
      <w:tblPr>
        <w:tblStyle w:val="a0"/>
        <w:tblW w:w="9206"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2539"/>
        <w:gridCol w:w="2560"/>
        <w:gridCol w:w="1428"/>
        <w:gridCol w:w="2679"/>
      </w:tblGrid>
      <w:tr w:rsidR="00BB600E">
        <w:trPr>
          <w:trHeight w:val="743"/>
        </w:trPr>
        <w:tc>
          <w:tcPr>
            <w:tcW w:w="2539" w:type="dxa"/>
            <w:shd w:val="clear" w:color="auto" w:fill="auto"/>
            <w:vAlign w:val="center"/>
          </w:tcPr>
          <w:p w:rsidR="00BB600E" w:rsidRDefault="00B277E4">
            <w:pPr>
              <w:jc w:val="both"/>
              <w:rPr>
                <w:rFonts w:ascii="Arial" w:eastAsia="Arial" w:hAnsi="Arial" w:cs="Arial"/>
                <w:b/>
                <w:color w:val="000000"/>
                <w:sz w:val="22"/>
                <w:szCs w:val="22"/>
              </w:rPr>
            </w:pPr>
            <w:r>
              <w:rPr>
                <w:rFonts w:ascii="Arial" w:eastAsia="Arial" w:hAnsi="Arial" w:cs="Arial"/>
                <w:b/>
                <w:color w:val="000000"/>
                <w:sz w:val="22"/>
                <w:szCs w:val="22"/>
              </w:rPr>
              <w:t>ASUNTO</w:t>
            </w:r>
          </w:p>
        </w:tc>
        <w:tc>
          <w:tcPr>
            <w:tcW w:w="2560" w:type="dxa"/>
            <w:shd w:val="clear" w:color="auto" w:fill="auto"/>
            <w:vAlign w:val="center"/>
          </w:tcPr>
          <w:p w:rsidR="00BB600E" w:rsidRDefault="00B277E4">
            <w:pPr>
              <w:jc w:val="center"/>
              <w:rPr>
                <w:rFonts w:ascii="Arial" w:eastAsia="Arial" w:hAnsi="Arial" w:cs="Arial"/>
                <w:color w:val="000000"/>
                <w:sz w:val="22"/>
                <w:szCs w:val="22"/>
              </w:rPr>
            </w:pPr>
            <w:r>
              <w:rPr>
                <w:rFonts w:ascii="Arial" w:eastAsia="Arial" w:hAnsi="Arial" w:cs="Arial"/>
                <w:color w:val="000000"/>
                <w:sz w:val="22"/>
                <w:szCs w:val="22"/>
              </w:rPr>
              <w:t>PROCESO SANCIONATORIO</w:t>
            </w:r>
          </w:p>
        </w:tc>
        <w:tc>
          <w:tcPr>
            <w:tcW w:w="4107" w:type="dxa"/>
            <w:gridSpan w:val="2"/>
            <w:shd w:val="clear" w:color="auto" w:fill="auto"/>
            <w:vAlign w:val="center"/>
          </w:tcPr>
          <w:p w:rsidR="00BB600E" w:rsidRDefault="00B277E4">
            <w:pPr>
              <w:spacing w:before="240" w:after="240"/>
              <w:jc w:val="center"/>
              <w:rPr>
                <w:rFonts w:ascii="Arial" w:eastAsia="Arial" w:hAnsi="Arial" w:cs="Arial"/>
                <w:color w:val="000000"/>
                <w:sz w:val="22"/>
                <w:szCs w:val="22"/>
              </w:rPr>
            </w:pPr>
            <w:r>
              <w:rPr>
                <w:rFonts w:ascii="Arial" w:eastAsia="Arial" w:hAnsi="Arial" w:cs="Arial"/>
                <w:sz w:val="22"/>
                <w:szCs w:val="22"/>
              </w:rPr>
              <w:t>INFORME DE CRITERIOS PARA IMPOSICIÓN DE SANCIÓN</w:t>
            </w:r>
          </w:p>
        </w:tc>
      </w:tr>
      <w:tr w:rsidR="00BB600E">
        <w:tc>
          <w:tcPr>
            <w:tcW w:w="2539" w:type="dxa"/>
            <w:shd w:val="clear" w:color="auto" w:fill="auto"/>
            <w:vAlign w:val="center"/>
          </w:tcPr>
          <w:p w:rsidR="00BB600E" w:rsidRDefault="00B277E4">
            <w:pPr>
              <w:jc w:val="both"/>
              <w:rPr>
                <w:rFonts w:ascii="Arial" w:eastAsia="Arial" w:hAnsi="Arial" w:cs="Arial"/>
                <w:sz w:val="22"/>
                <w:szCs w:val="22"/>
              </w:rPr>
            </w:pPr>
            <w:r>
              <w:rPr>
                <w:rFonts w:ascii="Arial" w:eastAsia="Arial" w:hAnsi="Arial" w:cs="Arial"/>
                <w:b/>
                <w:sz w:val="22"/>
                <w:szCs w:val="22"/>
              </w:rPr>
              <w:t>PRESUNTO INFRACTOR:</w:t>
            </w:r>
          </w:p>
        </w:tc>
        <w:tc>
          <w:tcPr>
            <w:tcW w:w="6667" w:type="dxa"/>
            <w:gridSpan w:val="3"/>
            <w:shd w:val="clear" w:color="auto" w:fill="auto"/>
            <w:vAlign w:val="center"/>
          </w:tcPr>
          <w:p w:rsidR="00BB600E" w:rsidRPr="00ED24BB" w:rsidRDefault="00B277E4">
            <w:pPr>
              <w:rPr>
                <w:rFonts w:ascii="Arial" w:eastAsia="Arial" w:hAnsi="Arial" w:cs="Arial"/>
                <w:sz w:val="22"/>
                <w:szCs w:val="22"/>
              </w:rPr>
            </w:pPr>
            <w:r w:rsidRPr="00ED24BB">
              <w:rPr>
                <w:rFonts w:ascii="Arial" w:eastAsia="Arial" w:hAnsi="Arial" w:cs="Arial"/>
                <w:sz w:val="22"/>
                <w:szCs w:val="22"/>
              </w:rPr>
              <w:t>INVERSIONES MENDEBAL S A</w:t>
            </w:r>
          </w:p>
        </w:tc>
      </w:tr>
      <w:tr w:rsidR="00BB600E">
        <w:tc>
          <w:tcPr>
            <w:tcW w:w="2539" w:type="dxa"/>
            <w:shd w:val="clear" w:color="auto" w:fill="auto"/>
            <w:vAlign w:val="center"/>
          </w:tcPr>
          <w:p w:rsidR="00BB600E" w:rsidRDefault="00B277E4">
            <w:pPr>
              <w:jc w:val="both"/>
              <w:rPr>
                <w:rFonts w:ascii="Arial" w:eastAsia="Arial" w:hAnsi="Arial" w:cs="Arial"/>
                <w:b/>
                <w:sz w:val="22"/>
                <w:szCs w:val="22"/>
              </w:rPr>
            </w:pPr>
            <w:r>
              <w:rPr>
                <w:rFonts w:ascii="Arial" w:eastAsia="Arial" w:hAnsi="Arial" w:cs="Arial"/>
                <w:b/>
                <w:sz w:val="22"/>
                <w:szCs w:val="22"/>
              </w:rPr>
              <w:t>IDENTIFICACIÓN:</w:t>
            </w:r>
          </w:p>
        </w:tc>
        <w:tc>
          <w:tcPr>
            <w:tcW w:w="6667" w:type="dxa"/>
            <w:gridSpan w:val="3"/>
            <w:shd w:val="clear" w:color="auto" w:fill="auto"/>
            <w:vAlign w:val="center"/>
          </w:tcPr>
          <w:p w:rsidR="00BB600E" w:rsidRPr="00ED24BB" w:rsidRDefault="00B277E4">
            <w:pPr>
              <w:rPr>
                <w:rFonts w:ascii="Arial" w:eastAsia="Arial" w:hAnsi="Arial" w:cs="Arial"/>
                <w:sz w:val="22"/>
                <w:szCs w:val="22"/>
              </w:rPr>
            </w:pPr>
            <w:r w:rsidRPr="00ED24BB">
              <w:rPr>
                <w:rFonts w:ascii="Arial" w:eastAsia="Arial" w:hAnsi="Arial" w:cs="Arial"/>
              </w:rPr>
              <w:t>860353473–5</w:t>
            </w:r>
          </w:p>
        </w:tc>
      </w:tr>
      <w:tr w:rsidR="00BB600E">
        <w:tc>
          <w:tcPr>
            <w:tcW w:w="2539" w:type="dxa"/>
            <w:shd w:val="clear" w:color="auto" w:fill="auto"/>
            <w:vAlign w:val="center"/>
          </w:tcPr>
          <w:p w:rsidR="00BB600E" w:rsidRDefault="00B277E4">
            <w:pPr>
              <w:jc w:val="both"/>
              <w:rPr>
                <w:rFonts w:ascii="Arial" w:eastAsia="Arial" w:hAnsi="Arial" w:cs="Arial"/>
                <w:b/>
                <w:sz w:val="22"/>
                <w:szCs w:val="22"/>
              </w:rPr>
            </w:pPr>
            <w:r>
              <w:rPr>
                <w:rFonts w:ascii="Arial" w:eastAsia="Arial" w:hAnsi="Arial" w:cs="Arial"/>
                <w:b/>
                <w:sz w:val="22"/>
                <w:szCs w:val="22"/>
              </w:rPr>
              <w:t>EXPEDIENTE:</w:t>
            </w:r>
          </w:p>
        </w:tc>
        <w:tc>
          <w:tcPr>
            <w:tcW w:w="6667" w:type="dxa"/>
            <w:gridSpan w:val="3"/>
            <w:shd w:val="clear" w:color="auto" w:fill="auto"/>
            <w:vAlign w:val="center"/>
          </w:tcPr>
          <w:p w:rsidR="00BB600E" w:rsidRPr="00ED24BB" w:rsidRDefault="00B277E4">
            <w:pPr>
              <w:jc w:val="both"/>
              <w:rPr>
                <w:rFonts w:ascii="Arial" w:eastAsia="Arial" w:hAnsi="Arial" w:cs="Arial"/>
                <w:sz w:val="22"/>
                <w:szCs w:val="22"/>
              </w:rPr>
            </w:pPr>
            <w:bookmarkStart w:id="6" w:name="bookmark=id.2et92p0" w:colFirst="0" w:colLast="0"/>
            <w:bookmarkEnd w:id="6"/>
            <w:r w:rsidRPr="00ED24BB">
              <w:rPr>
                <w:rFonts w:ascii="Arial" w:eastAsia="Arial" w:hAnsi="Arial" w:cs="Arial"/>
                <w:sz w:val="22"/>
                <w:szCs w:val="22"/>
              </w:rPr>
              <w:t>SDA-08-2012-1453</w:t>
            </w:r>
          </w:p>
        </w:tc>
      </w:tr>
      <w:tr w:rsidR="00BB600E">
        <w:tc>
          <w:tcPr>
            <w:tcW w:w="6527" w:type="dxa"/>
            <w:gridSpan w:val="3"/>
            <w:shd w:val="clear" w:color="auto" w:fill="auto"/>
            <w:vAlign w:val="center"/>
          </w:tcPr>
          <w:p w:rsidR="00BB600E" w:rsidRDefault="00B277E4">
            <w:pPr>
              <w:jc w:val="both"/>
              <w:rPr>
                <w:rFonts w:ascii="Arial" w:eastAsia="Arial" w:hAnsi="Arial" w:cs="Arial"/>
                <w:b/>
                <w:color w:val="000000"/>
                <w:sz w:val="22"/>
                <w:szCs w:val="22"/>
              </w:rPr>
            </w:pPr>
            <w:r>
              <w:rPr>
                <w:rFonts w:ascii="Arial" w:eastAsia="Arial" w:hAnsi="Arial" w:cs="Arial"/>
                <w:b/>
                <w:color w:val="000000"/>
                <w:sz w:val="22"/>
                <w:szCs w:val="22"/>
              </w:rPr>
              <w:t>REQUIERE ACTUACIÓN DEL GRUPO JURÍDICO DE LA DCA</w:t>
            </w:r>
          </w:p>
        </w:tc>
        <w:tc>
          <w:tcPr>
            <w:tcW w:w="2679" w:type="dxa"/>
            <w:shd w:val="clear" w:color="auto" w:fill="auto"/>
            <w:vAlign w:val="center"/>
          </w:tcPr>
          <w:p w:rsidR="00BB600E" w:rsidRDefault="00B277E4">
            <w:pPr>
              <w:jc w:val="both"/>
              <w:rPr>
                <w:rFonts w:ascii="Arial" w:eastAsia="Arial" w:hAnsi="Arial" w:cs="Arial"/>
                <w:color w:val="000000"/>
                <w:sz w:val="22"/>
                <w:szCs w:val="22"/>
              </w:rPr>
            </w:pPr>
            <w:r>
              <w:rPr>
                <w:rFonts w:ascii="Arial" w:eastAsia="Arial" w:hAnsi="Arial" w:cs="Arial"/>
                <w:color w:val="000000"/>
                <w:sz w:val="22"/>
                <w:szCs w:val="22"/>
              </w:rPr>
              <w:t>SI</w:t>
            </w:r>
          </w:p>
        </w:tc>
      </w:tr>
    </w:tbl>
    <w:p w:rsidR="00BB600E" w:rsidRDefault="00BB600E">
      <w:pPr>
        <w:tabs>
          <w:tab w:val="left" w:pos="567"/>
        </w:tabs>
        <w:rPr>
          <w:rFonts w:ascii="Arial" w:eastAsia="Arial" w:hAnsi="Arial" w:cs="Arial"/>
        </w:rPr>
      </w:pPr>
    </w:p>
    <w:p w:rsidR="00BB600E" w:rsidRDefault="00BB600E"/>
    <w:p w:rsidR="00BB600E" w:rsidRDefault="00B277E4">
      <w:pPr>
        <w:pStyle w:val="Ttulo1"/>
        <w:numPr>
          <w:ilvl w:val="0"/>
          <w:numId w:val="3"/>
        </w:numPr>
        <w:spacing w:before="0" w:after="0" w:line="360" w:lineRule="auto"/>
        <w:ind w:left="357" w:hanging="357"/>
        <w:rPr>
          <w:b/>
          <w:sz w:val="24"/>
          <w:szCs w:val="24"/>
        </w:rPr>
      </w:pPr>
      <w:r>
        <w:rPr>
          <w:b/>
          <w:sz w:val="24"/>
          <w:szCs w:val="24"/>
        </w:rPr>
        <w:t xml:space="preserve">OBJETIVO </w:t>
      </w:r>
    </w:p>
    <w:p w:rsidR="008306FA" w:rsidRPr="008306FA" w:rsidRDefault="008306FA" w:rsidP="008306FA">
      <w:pPr>
        <w:rPr>
          <w:lang w:val="es-ES" w:eastAsia="en-US"/>
        </w:rPr>
      </w:pPr>
    </w:p>
    <w:p w:rsidR="00BB600E" w:rsidRDefault="00B277E4">
      <w:pPr>
        <w:spacing w:line="360" w:lineRule="auto"/>
        <w:jc w:val="both"/>
        <w:rPr>
          <w:rFonts w:ascii="Arial" w:eastAsia="Arial" w:hAnsi="Arial" w:cs="Arial"/>
        </w:rPr>
      </w:pPr>
      <w:r>
        <w:rPr>
          <w:rFonts w:ascii="Arial" w:eastAsia="Arial" w:hAnsi="Arial" w:cs="Arial"/>
        </w:rPr>
        <w:t xml:space="preserve">Elaborar el informe técnico de criterios para determinar la sanción de tipo ambiental a imponer a la sociedad INVERSIONES MENDEBAL S A, identificada con NIT 860353473–5, por incumplimientos a la normatividad ambiental en materia de ruido, para lo cual, se evaluarán los criterios para la imposición de las sanciones consagradas en el artículo 40 de la ley 1333 del 21 de julio del 2009,  modificado por la ley 2387 de 25 de julio de 2024, establecidos en el Decreto 3678 del 4 de octubre de 2010 (hoy compilado en el Decreto 1076 del 26 de mayo de 2015 </w:t>
      </w:r>
    </w:p>
    <w:p w:rsidR="00BB600E" w:rsidRDefault="00BB600E">
      <w:pPr>
        <w:spacing w:line="360" w:lineRule="auto"/>
        <w:jc w:val="both"/>
        <w:rPr>
          <w:rFonts w:ascii="Arial" w:eastAsia="Arial" w:hAnsi="Arial" w:cs="Arial"/>
        </w:rPr>
      </w:pPr>
    </w:p>
    <w:p w:rsidR="00BB600E" w:rsidRDefault="00B277E4">
      <w:pPr>
        <w:pStyle w:val="Ttulo1"/>
        <w:numPr>
          <w:ilvl w:val="0"/>
          <w:numId w:val="3"/>
        </w:numPr>
        <w:spacing w:before="0" w:after="0" w:line="360" w:lineRule="auto"/>
        <w:ind w:left="357" w:hanging="357"/>
        <w:rPr>
          <w:b/>
          <w:sz w:val="24"/>
          <w:szCs w:val="24"/>
        </w:rPr>
      </w:pPr>
      <w:r>
        <w:rPr>
          <w:b/>
          <w:sz w:val="24"/>
          <w:szCs w:val="24"/>
        </w:rPr>
        <w:t>RELACIÓN DE CARGOS</w:t>
      </w:r>
    </w:p>
    <w:p w:rsidR="00BB600E" w:rsidRDefault="00BB600E">
      <w:pPr>
        <w:spacing w:line="360" w:lineRule="auto"/>
      </w:pPr>
    </w:p>
    <w:p w:rsidR="00BB600E" w:rsidRDefault="00B277E4" w:rsidP="00ED24BB">
      <w:pPr>
        <w:spacing w:line="360" w:lineRule="auto"/>
        <w:jc w:val="both"/>
        <w:rPr>
          <w:rFonts w:ascii="Arial" w:eastAsia="Arial" w:hAnsi="Arial" w:cs="Arial"/>
          <w:color w:val="000000"/>
        </w:rPr>
      </w:pPr>
      <w:r>
        <w:rPr>
          <w:rFonts w:ascii="Arial" w:eastAsia="Arial" w:hAnsi="Arial" w:cs="Arial"/>
          <w:color w:val="000000"/>
        </w:rPr>
        <w:lastRenderedPageBreak/>
        <w:t>A continuación, se presentan los cargos formulados en el Auto 4225 del 23 de octubre de 2015:</w:t>
      </w:r>
    </w:p>
    <w:p w:rsidR="00BB600E" w:rsidRDefault="00BB600E">
      <w:pPr>
        <w:spacing w:line="360" w:lineRule="auto"/>
        <w:jc w:val="both"/>
        <w:rPr>
          <w:rFonts w:ascii="Arial" w:eastAsia="Arial" w:hAnsi="Arial" w:cs="Arial"/>
        </w:rPr>
      </w:pPr>
    </w:p>
    <w:p w:rsidR="00BB600E" w:rsidRPr="00ED24BB" w:rsidRDefault="00ED24BB" w:rsidP="00ED24BB">
      <w:pPr>
        <w:spacing w:line="360" w:lineRule="auto"/>
        <w:ind w:left="720"/>
        <w:jc w:val="both"/>
        <w:rPr>
          <w:rFonts w:ascii="Arial" w:eastAsia="Arial" w:hAnsi="Arial" w:cs="Arial"/>
        </w:rPr>
      </w:pPr>
      <w:r>
        <w:rPr>
          <w:rFonts w:ascii="Arial" w:eastAsia="Arial" w:hAnsi="Arial" w:cs="Arial"/>
          <w:b/>
        </w:rPr>
        <w:t>“</w:t>
      </w:r>
      <w:r w:rsidR="00B277E4" w:rsidRPr="00ED24BB">
        <w:rPr>
          <w:rFonts w:ascii="Arial" w:eastAsia="Arial" w:hAnsi="Arial" w:cs="Arial"/>
          <w:b/>
        </w:rPr>
        <w:t>Cargo Primero:</w:t>
      </w:r>
      <w:r w:rsidR="00B277E4" w:rsidRPr="00ED24BB">
        <w:rPr>
          <w:rFonts w:ascii="Arial" w:eastAsia="Arial" w:hAnsi="Arial" w:cs="Arial"/>
        </w:rPr>
        <w:t xml:space="preserve"> Presuntamente superar los estándares máximos permisibles de niveles de ruido al interior de edificaciones receptoras por la incidencia del ruido generado por fuentes fijas externas para edificaciones de uso residencial en horario nocturno, mediante el empleo de una (1) planta eléctrica, contraviniendo lo normado en la Tabla No. 2 del Artículo 7º de la Resolución 6918 del 19 de octubre de 2010.</w:t>
      </w:r>
      <w:r>
        <w:rPr>
          <w:rFonts w:ascii="Arial" w:eastAsia="Arial" w:hAnsi="Arial" w:cs="Arial"/>
        </w:rPr>
        <w:t>”</w:t>
      </w:r>
    </w:p>
    <w:p w:rsidR="00BB600E" w:rsidRPr="00ED24BB" w:rsidRDefault="00BB600E" w:rsidP="00ED24BB">
      <w:pPr>
        <w:spacing w:line="360" w:lineRule="auto"/>
        <w:ind w:left="720"/>
        <w:jc w:val="both"/>
        <w:rPr>
          <w:rFonts w:ascii="Arial" w:eastAsia="Arial" w:hAnsi="Arial" w:cs="Arial"/>
        </w:rPr>
      </w:pPr>
    </w:p>
    <w:p w:rsidR="00BB600E" w:rsidRPr="00ED24BB" w:rsidRDefault="00ED24BB" w:rsidP="00ED24BB">
      <w:pPr>
        <w:spacing w:line="360" w:lineRule="auto"/>
        <w:ind w:left="720"/>
        <w:jc w:val="both"/>
        <w:rPr>
          <w:rFonts w:ascii="Arial" w:eastAsia="Arial" w:hAnsi="Arial" w:cs="Arial"/>
        </w:rPr>
      </w:pPr>
      <w:r>
        <w:rPr>
          <w:rFonts w:ascii="Arial" w:eastAsia="Arial" w:hAnsi="Arial" w:cs="Arial"/>
          <w:b/>
        </w:rPr>
        <w:t>“</w:t>
      </w:r>
      <w:r w:rsidR="00B277E4" w:rsidRPr="00ED24BB">
        <w:rPr>
          <w:rFonts w:ascii="Arial" w:eastAsia="Arial" w:hAnsi="Arial" w:cs="Arial"/>
          <w:b/>
        </w:rPr>
        <w:t>Cargo Segundo:</w:t>
      </w:r>
      <w:r w:rsidR="00B277E4" w:rsidRPr="00ED24BB">
        <w:rPr>
          <w:rFonts w:ascii="Arial" w:eastAsia="Arial" w:hAnsi="Arial" w:cs="Arial"/>
        </w:rPr>
        <w:t xml:space="preserve"> Presuntamente generar ruido que traspase los límites de una propiedad, en contravención de los estándares permisibles de presión sonora o dentro de los horarios fijados por las normas respectivas, y no emplear los sistemas de control necesarios para garantizar que los niveles de ruido no perturbaran las zonas aledañas habitadas según lo establecido en los Artículos 45 y 51 del Decreto 948 de 1995.” </w:t>
      </w:r>
    </w:p>
    <w:p w:rsidR="00BB600E" w:rsidRDefault="00BB600E">
      <w:pPr>
        <w:spacing w:line="360" w:lineRule="auto"/>
        <w:jc w:val="both"/>
        <w:rPr>
          <w:rFonts w:ascii="Arial" w:eastAsia="Arial" w:hAnsi="Arial" w:cs="Arial"/>
        </w:rPr>
      </w:pPr>
    </w:p>
    <w:p w:rsidR="00BB600E" w:rsidRDefault="00B277E4">
      <w:pPr>
        <w:pStyle w:val="Ttulo1"/>
        <w:numPr>
          <w:ilvl w:val="0"/>
          <w:numId w:val="3"/>
        </w:numPr>
        <w:spacing w:before="0" w:after="0" w:line="360" w:lineRule="auto"/>
        <w:ind w:left="357" w:hanging="357"/>
        <w:rPr>
          <w:b/>
          <w:sz w:val="24"/>
          <w:szCs w:val="24"/>
        </w:rPr>
      </w:pPr>
      <w:r>
        <w:rPr>
          <w:b/>
          <w:sz w:val="24"/>
          <w:szCs w:val="24"/>
        </w:rPr>
        <w:t>CIRCUNSTANCIAS DE TIEMPO MODO Y LUGAR</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 xml:space="preserve">Según pruebas obrantes en el expediente sancionatorio SDA-08-2012-1453, y en especial las evidencias técnicas sustentadas en el concepto técnico 05154 del 18 de julio del 2012 se determina lo siguiente: </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color w:val="FF0000"/>
        </w:rPr>
      </w:pPr>
      <w:r>
        <w:rPr>
          <w:rFonts w:ascii="Arial" w:eastAsia="Arial" w:hAnsi="Arial" w:cs="Arial"/>
          <w:b/>
        </w:rPr>
        <w:t xml:space="preserve">Tiempo: </w:t>
      </w:r>
      <w:r w:rsidRPr="00ED24BB">
        <w:rPr>
          <w:rFonts w:ascii="Arial" w:eastAsia="Arial" w:hAnsi="Arial" w:cs="Arial"/>
        </w:rPr>
        <w:t>la visita técnica, en la que se llevó a cabo la medición, tuvo lugar el 10/04/2012 en horario nocturno.</w:t>
      </w:r>
    </w:p>
    <w:p w:rsidR="00BB600E" w:rsidRDefault="00BB600E">
      <w:pPr>
        <w:spacing w:line="360" w:lineRule="auto"/>
        <w:jc w:val="both"/>
        <w:rPr>
          <w:rFonts w:ascii="Arial" w:eastAsia="Arial" w:hAnsi="Arial" w:cs="Arial"/>
          <w:b/>
          <w:color w:val="C00000"/>
        </w:rPr>
      </w:pPr>
    </w:p>
    <w:p w:rsidR="00BB600E" w:rsidRDefault="00B277E4">
      <w:pPr>
        <w:spacing w:line="360" w:lineRule="auto"/>
        <w:jc w:val="both"/>
        <w:rPr>
          <w:rFonts w:ascii="Arial" w:eastAsia="Arial" w:hAnsi="Arial" w:cs="Arial"/>
        </w:rPr>
      </w:pPr>
      <w:r>
        <w:rPr>
          <w:rFonts w:ascii="Arial" w:eastAsia="Arial" w:hAnsi="Arial" w:cs="Arial"/>
          <w:b/>
        </w:rPr>
        <w:lastRenderedPageBreak/>
        <w:t xml:space="preserve">Modo: </w:t>
      </w:r>
      <w:r w:rsidRPr="00ED24BB">
        <w:rPr>
          <w:rFonts w:ascii="Arial" w:eastAsia="Arial" w:hAnsi="Arial" w:cs="Arial"/>
        </w:rPr>
        <w:t>en atención al Requ</w:t>
      </w:r>
      <w:r w:rsidR="00ED24BB" w:rsidRPr="00ED24BB">
        <w:rPr>
          <w:rFonts w:ascii="Arial" w:eastAsia="Arial" w:hAnsi="Arial" w:cs="Arial"/>
        </w:rPr>
        <w:t>e</w:t>
      </w:r>
      <w:r w:rsidRPr="00ED24BB">
        <w:rPr>
          <w:rFonts w:ascii="Arial" w:eastAsia="Arial" w:hAnsi="Arial" w:cs="Arial"/>
        </w:rPr>
        <w:t>rimiento No. 2011EE128894 del 11/10/2011 con Radicad</w:t>
      </w:r>
      <w:r w:rsidR="00ED24BB" w:rsidRPr="00ED24BB">
        <w:rPr>
          <w:rFonts w:ascii="Arial" w:eastAsia="Arial" w:hAnsi="Arial" w:cs="Arial"/>
        </w:rPr>
        <w:t>o No. 2011ER91519 de 28/07/2011 y</w:t>
      </w:r>
      <w:r w:rsidRPr="00ED24BB">
        <w:rPr>
          <w:rFonts w:ascii="Arial" w:eastAsia="Arial" w:hAnsi="Arial" w:cs="Arial"/>
        </w:rPr>
        <w:t xml:space="preserve"> Radicado No. 2011ER163338, se realiza visita técnica por parte de la Subdirección de Calidad del Aire, Auditiva y Visual (SCAAV) de la Secretaría Distrital de Ambiente (SDA), con el fin de verificar los niveles de presión sonora generados por el establecimiento CONJUNTO RESIDENCIAL RESERVA DE LAS AMÉRICAS ETAPA 2.</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En el momento de la visita se evidencia que el establecimiento se encuentra en una zona residencial y se encuentran como fuentes de emisión Planta eléctrica.</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En consecuencia, de la mencionada visita, se estableció que el nivel equivalente del aporte sonoro de las fuentes específicas (Leq emisión) fue de 58,8dB (A). Por lo tanto, se concluyó que se superaron los niveles máximos permisibles aceptados por la norma, correspondientes a 45 dB(A) en horario nocturno para una zona residencial.</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b/>
        </w:rPr>
      </w:pPr>
      <w:r>
        <w:rPr>
          <w:rFonts w:ascii="Arial" w:eastAsia="Arial" w:hAnsi="Arial" w:cs="Arial"/>
          <w:b/>
        </w:rPr>
        <w:t xml:space="preserve">Lugar: </w:t>
      </w:r>
      <w:r w:rsidRPr="00ED24BB">
        <w:rPr>
          <w:rFonts w:ascii="Arial" w:eastAsia="Arial" w:hAnsi="Arial" w:cs="Arial"/>
        </w:rPr>
        <w:t xml:space="preserve">las infracciones objeto del presente proceso sancionatorio se evidenciaron en el establecimiento denominado CONJUNTO RESIDENCIAL RESERVA DE LAS AMÉRICAS ETAPA 2, ubicado en la Calle 9C Bis No.68 G -29, </w:t>
      </w:r>
      <w:proofErr w:type="gramStart"/>
      <w:r w:rsidRPr="00ED24BB">
        <w:rPr>
          <w:rFonts w:ascii="Arial" w:eastAsia="Arial" w:hAnsi="Arial" w:cs="Arial"/>
        </w:rPr>
        <w:t>barrio</w:t>
      </w:r>
      <w:proofErr w:type="gramEnd"/>
      <w:r w:rsidRPr="00ED24BB">
        <w:rPr>
          <w:rFonts w:ascii="Arial" w:eastAsia="Arial" w:hAnsi="Arial" w:cs="Arial"/>
        </w:rPr>
        <w:t xml:space="preserve"> Marsella, localidad de Kennedy.</w:t>
      </w:r>
    </w:p>
    <w:p w:rsidR="00BB600E" w:rsidRDefault="00BB600E">
      <w:pPr>
        <w:spacing w:line="360" w:lineRule="auto"/>
        <w:jc w:val="both"/>
        <w:rPr>
          <w:rFonts w:ascii="Arial" w:eastAsia="Arial" w:hAnsi="Arial" w:cs="Arial"/>
        </w:rPr>
      </w:pPr>
    </w:p>
    <w:p w:rsidR="00BB600E" w:rsidRDefault="00B277E4">
      <w:pPr>
        <w:pStyle w:val="Ttulo1"/>
        <w:numPr>
          <w:ilvl w:val="0"/>
          <w:numId w:val="3"/>
        </w:numPr>
        <w:spacing w:before="0" w:after="0" w:line="360" w:lineRule="auto"/>
        <w:ind w:left="357" w:hanging="357"/>
        <w:rPr>
          <w:b/>
          <w:sz w:val="24"/>
          <w:szCs w:val="24"/>
        </w:rPr>
      </w:pPr>
      <w:r>
        <w:rPr>
          <w:b/>
          <w:sz w:val="24"/>
          <w:szCs w:val="24"/>
        </w:rPr>
        <w:t>DESCARGOS</w:t>
      </w:r>
    </w:p>
    <w:p w:rsidR="00BB600E" w:rsidRDefault="00BB600E">
      <w:pPr>
        <w:spacing w:line="360" w:lineRule="auto"/>
        <w:jc w:val="both"/>
        <w:rPr>
          <w:rFonts w:ascii="Arial" w:eastAsia="Arial" w:hAnsi="Arial" w:cs="Arial"/>
          <w:color w:val="00B0F0"/>
        </w:rPr>
      </w:pPr>
    </w:p>
    <w:p w:rsidR="00BB600E" w:rsidRDefault="00B277E4">
      <w:pPr>
        <w:spacing w:line="360" w:lineRule="auto"/>
        <w:jc w:val="both"/>
        <w:rPr>
          <w:rFonts w:ascii="Arial" w:eastAsia="Arial" w:hAnsi="Arial" w:cs="Arial"/>
        </w:rPr>
      </w:pPr>
      <w:r>
        <w:rPr>
          <w:rFonts w:ascii="Arial" w:eastAsia="Arial" w:hAnsi="Arial" w:cs="Arial"/>
        </w:rPr>
        <w:t xml:space="preserve">Que, transcurrido el término de ley, para la presentación de descargos, y una vez revisado el sistema forest de la Entidad, así como las actuaciones que reposan en el expediente SDA-08-2012-1453, se evidenció que la sociedad INVERSIONES MENDEBAL S A, identificada con NIT 860353473–5, en calidad de propietario del establecimiento denominado CONJUNTO RESIDENCIAL RESERVA DE LAS AMÉRICAS ETAPA 2, no </w:t>
      </w:r>
      <w:r>
        <w:rPr>
          <w:rFonts w:ascii="Arial" w:eastAsia="Arial" w:hAnsi="Arial" w:cs="Arial"/>
        </w:rPr>
        <w:lastRenderedPageBreak/>
        <w:t>presentó escrito de descargos, ni solicitó pruebas en contra del Auto 4225 del 23 de octubre de 2015, a tener en cuenta en el presente proceso sancionatorio, dentro del término establecido en la ley.</w:t>
      </w:r>
    </w:p>
    <w:p w:rsidR="00BB600E" w:rsidRDefault="00BB600E">
      <w:pPr>
        <w:spacing w:line="360" w:lineRule="auto"/>
        <w:jc w:val="both"/>
        <w:rPr>
          <w:rFonts w:ascii="Arial" w:eastAsia="Arial" w:hAnsi="Arial" w:cs="Arial"/>
        </w:rPr>
      </w:pPr>
    </w:p>
    <w:p w:rsidR="00BB600E" w:rsidRPr="00066A51" w:rsidRDefault="00B277E4">
      <w:pPr>
        <w:pStyle w:val="Ttulo1"/>
        <w:numPr>
          <w:ilvl w:val="0"/>
          <w:numId w:val="3"/>
        </w:numPr>
        <w:spacing w:before="0" w:after="0" w:line="360" w:lineRule="auto"/>
        <w:ind w:left="357" w:hanging="357"/>
        <w:rPr>
          <w:b/>
          <w:sz w:val="24"/>
        </w:rPr>
      </w:pPr>
      <w:r w:rsidRPr="00066A51">
        <w:rPr>
          <w:b/>
          <w:sz w:val="24"/>
        </w:rPr>
        <w:t>IDONEIDAD DE LA SANCIÓN A IMPONER</w:t>
      </w:r>
    </w:p>
    <w:p w:rsidR="00BB600E" w:rsidRDefault="00BB600E"/>
    <w:p w:rsidR="00066A51" w:rsidRDefault="00066A51" w:rsidP="00066A51">
      <w:pPr>
        <w:spacing w:line="360" w:lineRule="auto"/>
        <w:jc w:val="both"/>
        <w:rPr>
          <w:rFonts w:ascii="Arial" w:eastAsia="Arial" w:hAnsi="Arial" w:cs="Arial"/>
        </w:rPr>
      </w:pPr>
      <w:r w:rsidRPr="00066A51">
        <w:rPr>
          <w:rFonts w:ascii="Arial" w:eastAsia="Arial" w:hAnsi="Arial" w:cs="Arial"/>
        </w:rPr>
        <w:t xml:space="preserve">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rsidR="00ED24BB" w:rsidRPr="00066A51" w:rsidRDefault="00ED24BB" w:rsidP="00066A51">
      <w:pPr>
        <w:spacing w:line="360" w:lineRule="auto"/>
        <w:jc w:val="both"/>
        <w:rPr>
          <w:rFonts w:ascii="Arial" w:eastAsia="Arial" w:hAnsi="Arial" w:cs="Arial"/>
        </w:rPr>
      </w:pPr>
    </w:p>
    <w:p w:rsidR="00BB600E" w:rsidRDefault="00066A51" w:rsidP="00066A51">
      <w:pPr>
        <w:spacing w:line="360" w:lineRule="auto"/>
        <w:jc w:val="both"/>
        <w:rPr>
          <w:rFonts w:ascii="Arial" w:eastAsia="Arial" w:hAnsi="Arial" w:cs="Arial"/>
        </w:rPr>
      </w:pPr>
      <w:r w:rsidRPr="00066A51">
        <w:rPr>
          <w:rFonts w:ascii="Arial" w:eastAsia="Arial" w:hAnsi="Arial" w:cs="Arial"/>
        </w:rPr>
        <w:t>Desde el punto de vista técnico no se considera necesario imponer una sanción accesoria, ya que la infracción no se concreta en impactos ambientales que ameriten medidas adicionales.</w:t>
      </w:r>
    </w:p>
    <w:p w:rsidR="00066A51" w:rsidRDefault="00066A51" w:rsidP="00066A51">
      <w:pPr>
        <w:spacing w:line="360" w:lineRule="auto"/>
        <w:jc w:val="both"/>
      </w:pPr>
    </w:p>
    <w:p w:rsidR="00BB600E" w:rsidRDefault="00B277E4">
      <w:pPr>
        <w:pStyle w:val="Ttulo1"/>
        <w:numPr>
          <w:ilvl w:val="0"/>
          <w:numId w:val="3"/>
        </w:numPr>
        <w:spacing w:before="0" w:after="0" w:line="360" w:lineRule="auto"/>
        <w:ind w:left="357" w:hanging="357"/>
        <w:rPr>
          <w:b/>
          <w:sz w:val="24"/>
          <w:szCs w:val="24"/>
        </w:rPr>
      </w:pPr>
      <w:r>
        <w:rPr>
          <w:b/>
          <w:sz w:val="24"/>
          <w:szCs w:val="24"/>
        </w:rPr>
        <w:t>TASACIÓN DE LA MULTA. APLICACIÓN DE LOS CRITERIOS ESTABLECIDOS EN LA RESOLUCIÓN MAVDT 2086 DE 2010.</w:t>
      </w:r>
    </w:p>
    <w:p w:rsidR="00BB600E" w:rsidRDefault="00BB600E">
      <w:pPr>
        <w:spacing w:line="360" w:lineRule="auto"/>
      </w:pPr>
    </w:p>
    <w:p w:rsidR="00BB600E" w:rsidRDefault="00066A51" w:rsidP="00066A51">
      <w:pPr>
        <w:spacing w:line="360" w:lineRule="auto"/>
        <w:jc w:val="both"/>
        <w:rPr>
          <w:sz w:val="20"/>
          <w:szCs w:val="20"/>
        </w:rPr>
      </w:pPr>
      <w:r w:rsidRPr="00066A51">
        <w:rPr>
          <w:rFonts w:ascii="Arial" w:eastAsia="Arial" w:hAnsi="Arial" w:cs="Arial"/>
        </w:rPr>
        <w:t>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continuación el cálculo para cada una de las variables previstas en la modelación matemática definida en el artículo 4 de la precitada Resolución.</w:t>
      </w:r>
    </w:p>
    <w:p w:rsidR="00BB600E" w:rsidRDefault="00BB600E">
      <w:pPr>
        <w:spacing w:line="360" w:lineRule="auto"/>
        <w:rPr>
          <w:sz w:val="20"/>
          <w:szCs w:val="20"/>
        </w:rPr>
      </w:pPr>
    </w:p>
    <w:p w:rsidR="00BB600E" w:rsidRDefault="00B277E4">
      <w:pPr>
        <w:pStyle w:val="Ttulo2"/>
        <w:numPr>
          <w:ilvl w:val="1"/>
          <w:numId w:val="2"/>
        </w:numPr>
        <w:spacing w:before="0" w:after="0" w:line="360" w:lineRule="auto"/>
        <w:rPr>
          <w:sz w:val="24"/>
          <w:szCs w:val="24"/>
        </w:rPr>
      </w:pPr>
      <w:r>
        <w:rPr>
          <w:rFonts w:eastAsia="Arial" w:cs="Arial"/>
          <w:sz w:val="24"/>
          <w:szCs w:val="24"/>
        </w:rPr>
        <w:t>BENEFICIO ILÍCITO (B)</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color w:val="000000"/>
        </w:rPr>
      </w:pPr>
      <w:r>
        <w:rPr>
          <w:rFonts w:ascii="Arial" w:eastAsia="Arial" w:hAnsi="Arial" w:cs="Arial"/>
          <w:color w:val="000000"/>
        </w:rPr>
        <w:lastRenderedPageBreak/>
        <w:t>Se refiere a la ganancia económica que obtiene el presunto infractor fruto de su conducta. El valor del beneficio ilícito es la cuantía mínima que debe tomar una multa para cumplir su función disuasiva.</w:t>
      </w:r>
    </w:p>
    <w:p w:rsidR="00BB600E" w:rsidRDefault="00BB600E">
      <w:pPr>
        <w:spacing w:line="360" w:lineRule="auto"/>
        <w:jc w:val="both"/>
        <w:rPr>
          <w:rFonts w:ascii="Arial" w:eastAsia="Arial" w:hAnsi="Arial" w:cs="Arial"/>
          <w:color w:val="FF0000"/>
        </w:rPr>
      </w:pPr>
    </w:p>
    <w:p w:rsidR="00BB600E" w:rsidRDefault="00B277E4">
      <w:pPr>
        <w:jc w:val="center"/>
        <w:rPr>
          <w:rFonts w:ascii="Cambria Math" w:eastAsia="Cambria Math" w:hAnsi="Cambria Math" w:cs="Cambria Math"/>
        </w:rPr>
      </w:pPr>
      <m:oMathPara>
        <m:oMath>
          <m:r>
            <w:rPr>
              <w:rFonts w:ascii="Cambria Math" w:eastAsia="Cambria Math" w:hAnsi="Cambria Math" w:cs="Cambria Math"/>
            </w:rPr>
            <m:t>B=</m:t>
          </m:r>
          <m:f>
            <m:fPr>
              <m:ctrlPr>
                <w:rPr>
                  <w:rFonts w:ascii="Cambria Math" w:eastAsia="Cambria Math" w:hAnsi="Cambria Math" w:cs="Cambria Math"/>
                </w:rPr>
              </m:ctrlPr>
            </m:fPr>
            <m:num>
              <m:r>
                <w:rPr>
                  <w:rFonts w:ascii="Cambria Math" w:eastAsia="Cambria Math" w:hAnsi="Cambria Math" w:cs="Cambria Math"/>
                </w:rPr>
                <m:t>Y*(1-p)</m:t>
              </m:r>
            </m:num>
            <m:den>
              <m:r>
                <w:rPr>
                  <w:rFonts w:ascii="Cambria Math" w:eastAsia="Cambria Math" w:hAnsi="Cambria Math" w:cs="Cambria Math"/>
                </w:rPr>
                <m:t>p</m:t>
              </m:r>
            </m:den>
          </m:f>
        </m:oMath>
      </m:oMathPara>
    </w:p>
    <w:p w:rsidR="00BB600E" w:rsidRDefault="00B277E4">
      <w:pPr>
        <w:jc w:val="center"/>
        <w:rPr>
          <w:rFonts w:ascii="Cambria Math" w:eastAsia="Cambria Math" w:hAnsi="Cambria Math" w:cs="Cambria Math"/>
          <w:color w:val="000000"/>
        </w:rPr>
      </w:pPr>
      <m:oMathPara>
        <m:oMath>
          <m:r>
            <w:rPr>
              <w:rFonts w:ascii="Cambria Math" w:eastAsia="Cambria Math" w:hAnsi="Cambria Math" w:cs="Cambria Math"/>
              <w:color w:val="000000"/>
            </w:rPr>
            <m:t>Y=</m:t>
          </m:r>
          <m:nary>
            <m:naryPr>
              <m:chr m:val="∑"/>
              <m:ctrlPr>
                <w:rPr>
                  <w:rFonts w:ascii="Cambria Math" w:eastAsia="Cambria Math" w:hAnsi="Cambria Math" w:cs="Cambria Math"/>
                  <w:color w:val="000000"/>
                </w:rPr>
              </m:ctrlPr>
            </m:naryPr>
            <m:sub/>
            <m:sup/>
            <m:e/>
          </m:nary>
          <m:sSub>
            <m:sSubPr>
              <m:ctrlPr>
                <w:rPr>
                  <w:rFonts w:ascii="Cambria Math" w:eastAsia="Cambria Math" w:hAnsi="Cambria Math" w:cs="Cambria Math"/>
                  <w:color w:val="000000"/>
                </w:rPr>
              </m:ctrlPr>
            </m:sSubPr>
            <m:e>
              <m:r>
                <w:rPr>
                  <w:rFonts w:ascii="Cambria Math" w:eastAsia="Cambria Math" w:hAnsi="Cambria Math" w:cs="Cambria Math"/>
                  <w:color w:val="000000"/>
                </w:rPr>
                <m:t>y</m:t>
              </m:r>
            </m:e>
            <m:sub>
              <m:r>
                <w:rPr>
                  <w:rFonts w:ascii="Cambria Math" w:eastAsia="Cambria Math" w:hAnsi="Cambria Math" w:cs="Cambria Math"/>
                  <w:color w:val="000000"/>
                </w:rPr>
                <m:t>1</m:t>
              </m:r>
            </m:sub>
          </m:sSub>
          <m:sSub>
            <m:sSubPr>
              <m:ctrlPr>
                <w:rPr>
                  <w:rFonts w:ascii="Cambria Math" w:eastAsia="Cambria Math" w:hAnsi="Cambria Math" w:cs="Cambria Math"/>
                  <w:color w:val="000000"/>
                </w:rPr>
              </m:ctrlPr>
            </m:sSubPr>
            <m:e>
              <m:r>
                <w:rPr>
                  <w:rFonts w:ascii="Cambria Math" w:eastAsia="Cambria Math" w:hAnsi="Cambria Math" w:cs="Cambria Math"/>
                  <w:color w:val="000000"/>
                </w:rPr>
                <m:t>,y</m:t>
              </m:r>
            </m:e>
            <m:sub>
              <m:r>
                <w:rPr>
                  <w:rFonts w:ascii="Cambria Math" w:eastAsia="Cambria Math" w:hAnsi="Cambria Math" w:cs="Cambria Math"/>
                  <w:color w:val="000000"/>
                </w:rPr>
                <m:t>2,</m:t>
              </m:r>
            </m:sub>
          </m:sSub>
          <m:sSub>
            <m:sSubPr>
              <m:ctrlPr>
                <w:rPr>
                  <w:rFonts w:ascii="Cambria Math" w:eastAsia="Cambria Math" w:hAnsi="Cambria Math" w:cs="Cambria Math"/>
                  <w:color w:val="000000"/>
                </w:rPr>
              </m:ctrlPr>
            </m:sSubPr>
            <m:e>
              <m:r>
                <w:rPr>
                  <w:rFonts w:ascii="Cambria Math" w:eastAsia="Cambria Math" w:hAnsi="Cambria Math" w:cs="Cambria Math"/>
                  <w:color w:val="000000"/>
                </w:rPr>
                <m:t>,y</m:t>
              </m:r>
            </m:e>
            <m:sub>
              <m:r>
                <w:rPr>
                  <w:rFonts w:ascii="Cambria Math" w:eastAsia="Cambria Math" w:hAnsi="Cambria Math" w:cs="Cambria Math"/>
                  <w:color w:val="000000"/>
                </w:rPr>
                <m:t>3</m:t>
              </m:r>
            </m:sub>
          </m:sSub>
        </m:oMath>
      </m:oMathPara>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 xml:space="preserve">Dónde: </w:t>
      </w:r>
    </w:p>
    <w:p w:rsidR="00BB600E" w:rsidRDefault="00B277E4">
      <w:pPr>
        <w:spacing w:line="360" w:lineRule="auto"/>
        <w:jc w:val="both"/>
        <w:rPr>
          <w:rFonts w:ascii="Arial" w:eastAsia="Arial" w:hAnsi="Arial" w:cs="Arial"/>
          <w:color w:val="000000"/>
        </w:rPr>
      </w:pPr>
      <w:r>
        <w:rPr>
          <w:rFonts w:ascii="Arial" w:eastAsia="Arial" w:hAnsi="Arial" w:cs="Arial"/>
          <w:color w:val="000000"/>
        </w:rPr>
        <w:t>Y: ingreso o percepción económica (costo evitado)</w:t>
      </w:r>
    </w:p>
    <w:p w:rsidR="00BB600E" w:rsidRDefault="00B277E4">
      <w:pPr>
        <w:spacing w:line="360" w:lineRule="auto"/>
        <w:jc w:val="both"/>
        <w:rPr>
          <w:rFonts w:ascii="Arial" w:eastAsia="Arial" w:hAnsi="Arial" w:cs="Arial"/>
          <w:color w:val="000000"/>
        </w:rPr>
      </w:pPr>
      <w:r>
        <w:rPr>
          <w:rFonts w:ascii="Arial" w:eastAsia="Arial" w:hAnsi="Arial" w:cs="Arial"/>
          <w:color w:val="000000"/>
        </w:rPr>
        <w:t xml:space="preserve">B: beneficio ilícito que debe cobrarse vía multa </w:t>
      </w:r>
    </w:p>
    <w:p w:rsidR="00BB600E" w:rsidRDefault="00B277E4">
      <w:pPr>
        <w:spacing w:line="360" w:lineRule="auto"/>
        <w:jc w:val="both"/>
        <w:rPr>
          <w:rFonts w:ascii="Arial" w:eastAsia="Arial" w:hAnsi="Arial" w:cs="Arial"/>
          <w:color w:val="000000"/>
        </w:rPr>
      </w:pPr>
      <w:r>
        <w:rPr>
          <w:rFonts w:ascii="Arial" w:eastAsia="Arial" w:hAnsi="Arial" w:cs="Arial"/>
          <w:color w:val="000000"/>
        </w:rPr>
        <w:t>p: capacidad de detección de la conducta</w:t>
      </w:r>
    </w:p>
    <w:p w:rsidR="00BB600E" w:rsidRDefault="00B277E4">
      <w:pPr>
        <w:spacing w:line="360" w:lineRule="auto"/>
        <w:jc w:val="both"/>
        <w:rPr>
          <w:rFonts w:ascii="Arial" w:eastAsia="Arial" w:hAnsi="Arial" w:cs="Arial"/>
          <w:b/>
          <w:color w:val="000000"/>
          <w:u w:val="single"/>
        </w:rPr>
      </w:pPr>
      <w:r>
        <w:rPr>
          <w:rFonts w:ascii="Arial" w:eastAsia="Arial" w:hAnsi="Arial" w:cs="Arial"/>
          <w:color w:val="000000"/>
        </w:rPr>
        <w:tab/>
      </w:r>
    </w:p>
    <w:p w:rsidR="00BB600E" w:rsidRDefault="00B277E4">
      <w:pPr>
        <w:spacing w:line="360" w:lineRule="auto"/>
        <w:jc w:val="both"/>
        <w:rPr>
          <w:rFonts w:ascii="Arial" w:eastAsia="Arial" w:hAnsi="Arial" w:cs="Arial"/>
          <w:b/>
          <w:color w:val="000000"/>
          <w:u w:val="single"/>
        </w:rPr>
      </w:pPr>
      <w:r>
        <w:rPr>
          <w:rFonts w:ascii="Arial" w:eastAsia="Arial" w:hAnsi="Arial" w:cs="Arial"/>
          <w:b/>
          <w:color w:val="000000"/>
          <w:u w:val="single"/>
        </w:rPr>
        <w:t>Ingresos directos (Y1)</w:t>
      </w:r>
    </w:p>
    <w:p w:rsidR="00BB600E" w:rsidRDefault="00BB600E">
      <w:pPr>
        <w:spacing w:line="360" w:lineRule="auto"/>
        <w:jc w:val="both"/>
        <w:rPr>
          <w:rFonts w:ascii="Arial" w:eastAsia="Arial" w:hAnsi="Arial" w:cs="Arial"/>
          <w:b/>
          <w:color w:val="000000"/>
          <w:u w:val="single"/>
        </w:rPr>
      </w:pPr>
    </w:p>
    <w:p w:rsidR="00BB600E" w:rsidRDefault="00B277E4">
      <w:pPr>
        <w:tabs>
          <w:tab w:val="left" w:pos="0"/>
        </w:tabs>
        <w:spacing w:line="360" w:lineRule="auto"/>
        <w:jc w:val="both"/>
        <w:rPr>
          <w:rFonts w:ascii="Arial" w:eastAsia="Arial" w:hAnsi="Arial" w:cs="Arial"/>
          <w:i/>
        </w:rPr>
      </w:pPr>
      <w:r>
        <w:rPr>
          <w:rFonts w:ascii="Arial" w:eastAsia="Arial" w:hAnsi="Arial" w:cs="Arial"/>
          <w:i/>
        </w:rPr>
        <w:t>“Este tipo de ingresos se mide con base en los ingresos reales del infractor por la realización del hecho. Los casos más característicos se encuentran en los comportamientos de extracción ilegal de recursos (minerales, fauna, flora, etc)”, donde el infractor espera obtener un ingreso económico por la venta o comercialización del recurso extraído. En estos casos, el ingreso esperado se encuentra asociado al valor promedio de mercado dl bien que se pretende comercializar.”</w:t>
      </w:r>
    </w:p>
    <w:p w:rsidR="00BB600E" w:rsidRDefault="00BB600E">
      <w:pPr>
        <w:spacing w:line="360" w:lineRule="auto"/>
        <w:jc w:val="both"/>
        <w:rPr>
          <w:rFonts w:ascii="Arial" w:eastAsia="Arial" w:hAnsi="Arial" w:cs="Arial"/>
          <w:i/>
        </w:rPr>
      </w:pPr>
    </w:p>
    <w:p w:rsidR="00BB600E" w:rsidRDefault="00B277E4">
      <w:pPr>
        <w:spacing w:line="360" w:lineRule="auto"/>
        <w:jc w:val="both"/>
        <w:rPr>
          <w:rFonts w:ascii="Arial" w:eastAsia="Arial" w:hAnsi="Arial" w:cs="Arial"/>
          <w:b/>
        </w:rPr>
      </w:pPr>
      <w:r>
        <w:rPr>
          <w:rFonts w:ascii="Arial" w:eastAsia="Arial" w:hAnsi="Arial" w:cs="Arial"/>
          <w:b/>
        </w:rPr>
        <w:t>Cargos primero y segundo</w:t>
      </w:r>
    </w:p>
    <w:p w:rsidR="00BB600E" w:rsidRDefault="00B277E4">
      <w:pPr>
        <w:spacing w:line="360" w:lineRule="auto"/>
        <w:jc w:val="both"/>
        <w:rPr>
          <w:rFonts w:ascii="Arial" w:eastAsia="Arial" w:hAnsi="Arial" w:cs="Arial"/>
          <w:color w:val="FF0000"/>
        </w:rPr>
      </w:pPr>
      <w:r>
        <w:rPr>
          <w:rFonts w:ascii="Arial" w:eastAsia="Arial" w:hAnsi="Arial" w:cs="Arial"/>
        </w:rPr>
        <w:t>Revisados los hechos que dieron origen a los cargos formulados y que hace parte del presente proceso sancionatorio, no se identificó la explotación ilícita de un recurso o bien de protección ambiental. El presunto infractor no generó de manera directa un ingreso fruto de la infracción a la normativa ambiental.</w:t>
      </w:r>
    </w:p>
    <w:p w:rsidR="00BB600E" w:rsidRDefault="00B277E4">
      <w:pPr>
        <w:spacing w:line="360" w:lineRule="auto"/>
        <w:jc w:val="center"/>
        <w:rPr>
          <w:rFonts w:ascii="Arial" w:eastAsia="Arial" w:hAnsi="Arial" w:cs="Arial"/>
        </w:rPr>
      </w:pPr>
      <w:r>
        <w:rPr>
          <w:rFonts w:ascii="Arial" w:eastAsia="Arial" w:hAnsi="Arial" w:cs="Arial"/>
        </w:rPr>
        <w:lastRenderedPageBreak/>
        <w:t>y1 = 0</w:t>
      </w:r>
    </w:p>
    <w:p w:rsidR="00BB600E" w:rsidRDefault="00BB600E">
      <w:pPr>
        <w:spacing w:line="360" w:lineRule="auto"/>
        <w:jc w:val="both"/>
        <w:rPr>
          <w:rFonts w:ascii="Arial" w:eastAsia="Arial" w:hAnsi="Arial" w:cs="Arial"/>
          <w:b/>
          <w:color w:val="000000"/>
          <w:u w:val="single"/>
        </w:rPr>
      </w:pPr>
    </w:p>
    <w:p w:rsidR="00BB600E" w:rsidRDefault="00B277E4">
      <w:pPr>
        <w:spacing w:line="360" w:lineRule="auto"/>
        <w:jc w:val="both"/>
        <w:rPr>
          <w:rFonts w:ascii="Arial" w:eastAsia="Arial" w:hAnsi="Arial" w:cs="Arial"/>
          <w:b/>
          <w:color w:val="000000"/>
          <w:u w:val="single"/>
        </w:rPr>
      </w:pPr>
      <w:r>
        <w:rPr>
          <w:rFonts w:ascii="Arial" w:eastAsia="Arial" w:hAnsi="Arial" w:cs="Arial"/>
          <w:b/>
          <w:color w:val="000000"/>
          <w:u w:val="single"/>
        </w:rPr>
        <w:t>Costos evitados (y2)</w:t>
      </w:r>
    </w:p>
    <w:p w:rsidR="00BB600E" w:rsidRDefault="00BB600E">
      <w:pPr>
        <w:spacing w:line="360" w:lineRule="auto"/>
        <w:jc w:val="both"/>
        <w:rPr>
          <w:rFonts w:ascii="Arial" w:eastAsia="Arial" w:hAnsi="Arial" w:cs="Arial"/>
          <w:b/>
          <w:color w:val="000000"/>
          <w:u w:val="single"/>
        </w:rPr>
      </w:pPr>
    </w:p>
    <w:p w:rsidR="00BB600E" w:rsidRDefault="00B277E4">
      <w:pPr>
        <w:spacing w:line="360" w:lineRule="auto"/>
        <w:jc w:val="both"/>
        <w:rPr>
          <w:rFonts w:ascii="Arial" w:eastAsia="Arial" w:hAnsi="Arial" w:cs="Arial"/>
          <w:i/>
          <w:color w:val="000000"/>
        </w:rPr>
      </w:pPr>
      <w:r>
        <w:rPr>
          <w:rFonts w:ascii="Arial" w:eastAsia="Arial" w:hAnsi="Arial" w:cs="Arial"/>
          <w:i/>
          <w:color w:val="000000"/>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w:t>
      </w:r>
    </w:p>
    <w:p w:rsidR="00BB600E" w:rsidRDefault="00BB600E">
      <w:pPr>
        <w:spacing w:line="360" w:lineRule="auto"/>
        <w:jc w:val="both"/>
        <w:rPr>
          <w:rFonts w:ascii="Arial" w:eastAsia="Arial" w:hAnsi="Arial" w:cs="Arial"/>
          <w:i/>
          <w:color w:val="2F5496"/>
        </w:rPr>
      </w:pPr>
    </w:p>
    <w:p w:rsidR="00BB600E" w:rsidRDefault="00B277E4">
      <w:pPr>
        <w:spacing w:line="360" w:lineRule="auto"/>
        <w:jc w:val="both"/>
        <w:rPr>
          <w:rFonts w:ascii="Arial" w:eastAsia="Arial" w:hAnsi="Arial" w:cs="Arial"/>
          <w:b/>
        </w:rPr>
      </w:pPr>
      <w:r>
        <w:rPr>
          <w:rFonts w:ascii="Arial" w:eastAsia="Arial" w:hAnsi="Arial" w:cs="Arial"/>
          <w:b/>
        </w:rPr>
        <w:t>Cargos primero y segundo</w:t>
      </w:r>
    </w:p>
    <w:p w:rsidR="00BB600E" w:rsidRDefault="00B277E4">
      <w:pPr>
        <w:spacing w:line="360" w:lineRule="auto"/>
        <w:jc w:val="both"/>
        <w:rPr>
          <w:rFonts w:ascii="Arial" w:eastAsia="Arial" w:hAnsi="Arial" w:cs="Arial"/>
          <w:color w:val="FF0000"/>
        </w:rPr>
      </w:pPr>
      <w:r>
        <w:rPr>
          <w:rFonts w:ascii="Arial" w:eastAsia="Arial" w:hAnsi="Arial" w:cs="Arial"/>
        </w:rPr>
        <w:t>El costo evitado se relaciona con las obras para el aislamiento acústico y la mitigación de emisiones sonoras, sin embargo, con la información que reposa en el expediente SDA-08-2012-1453, no es posible para esta Secretaría cuantificar con exactitud este valor, ya que estas obras dependen de las condiciones particulares de funcionamiento del lugar. Por lo anterior se considera esta variable en cero, y el provecho económico será considerado como agravante.</w:t>
      </w:r>
    </w:p>
    <w:p w:rsidR="00BB600E" w:rsidRDefault="00BB600E">
      <w:pPr>
        <w:spacing w:line="360" w:lineRule="auto"/>
        <w:jc w:val="both"/>
        <w:rPr>
          <w:rFonts w:ascii="Arial" w:eastAsia="Arial" w:hAnsi="Arial" w:cs="Arial"/>
          <w:color w:val="2F5496"/>
        </w:rPr>
      </w:pPr>
    </w:p>
    <w:p w:rsidR="00BB600E" w:rsidRDefault="00B277E4">
      <w:pPr>
        <w:spacing w:line="360" w:lineRule="auto"/>
        <w:jc w:val="center"/>
        <w:rPr>
          <w:rFonts w:ascii="Arial" w:eastAsia="Arial" w:hAnsi="Arial" w:cs="Arial"/>
        </w:rPr>
      </w:pPr>
      <w:r>
        <w:rPr>
          <w:rFonts w:ascii="Arial" w:eastAsia="Arial" w:hAnsi="Arial" w:cs="Arial"/>
        </w:rPr>
        <w:t>y2 = 0</w:t>
      </w:r>
    </w:p>
    <w:p w:rsidR="00BB600E" w:rsidRDefault="00BB600E">
      <w:pPr>
        <w:spacing w:line="360" w:lineRule="auto"/>
        <w:jc w:val="both"/>
        <w:rPr>
          <w:rFonts w:ascii="Arial" w:eastAsia="Arial" w:hAnsi="Arial" w:cs="Arial"/>
          <w:b/>
          <w:color w:val="000000"/>
          <w:u w:val="single"/>
        </w:rPr>
      </w:pPr>
    </w:p>
    <w:p w:rsidR="00BB600E" w:rsidRDefault="00B277E4">
      <w:pPr>
        <w:spacing w:line="360" w:lineRule="auto"/>
        <w:jc w:val="both"/>
        <w:rPr>
          <w:rFonts w:ascii="Arial" w:eastAsia="Arial" w:hAnsi="Arial" w:cs="Arial"/>
          <w:b/>
          <w:color w:val="000000"/>
          <w:u w:val="single"/>
        </w:rPr>
      </w:pPr>
      <w:r>
        <w:rPr>
          <w:rFonts w:ascii="Arial" w:eastAsia="Arial" w:hAnsi="Arial" w:cs="Arial"/>
          <w:b/>
          <w:color w:val="000000"/>
          <w:u w:val="single"/>
        </w:rPr>
        <w:t>Ahorros de retraso (y3)</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i/>
          <w:color w:val="000000"/>
        </w:rPr>
      </w:pPr>
      <w:r>
        <w:rPr>
          <w:rFonts w:ascii="Arial" w:eastAsia="Arial" w:hAnsi="Arial" w:cs="Arial"/>
          <w:i/>
          <w:color w:val="000000"/>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w:t>
      </w:r>
    </w:p>
    <w:p w:rsidR="00BB600E" w:rsidRDefault="00BB600E">
      <w:pPr>
        <w:spacing w:line="360" w:lineRule="auto"/>
        <w:jc w:val="both"/>
        <w:rPr>
          <w:rFonts w:ascii="Arial" w:eastAsia="Arial" w:hAnsi="Arial" w:cs="Arial"/>
          <w:i/>
          <w:color w:val="000000"/>
        </w:rPr>
      </w:pPr>
    </w:p>
    <w:p w:rsidR="00BB600E" w:rsidRDefault="00B277E4">
      <w:pPr>
        <w:spacing w:line="360" w:lineRule="auto"/>
        <w:jc w:val="both"/>
        <w:rPr>
          <w:rFonts w:ascii="Arial" w:eastAsia="Arial" w:hAnsi="Arial" w:cs="Arial"/>
          <w:b/>
        </w:rPr>
      </w:pPr>
      <w:r>
        <w:rPr>
          <w:rFonts w:ascii="Arial" w:eastAsia="Arial" w:hAnsi="Arial" w:cs="Arial"/>
          <w:b/>
        </w:rPr>
        <w:lastRenderedPageBreak/>
        <w:t>Cargos primero y segundo</w:t>
      </w:r>
    </w:p>
    <w:p w:rsidR="00BB600E" w:rsidRDefault="00B277E4">
      <w:pPr>
        <w:spacing w:line="360" w:lineRule="auto"/>
        <w:jc w:val="both"/>
        <w:rPr>
          <w:rFonts w:ascii="Arial" w:eastAsia="Arial" w:hAnsi="Arial" w:cs="Arial"/>
        </w:rPr>
      </w:pPr>
      <w:r>
        <w:rPr>
          <w:rFonts w:ascii="Arial" w:eastAsia="Arial" w:hAnsi="Arial" w:cs="Arial"/>
        </w:rPr>
        <w:t>Dentro del expediente no reposa prueba alguna que demuestre que el presunto infractor haya realizado inversiones posteriores tendientes al cumplimiento de la norma ambiental, esta variable es considerada en cero.</w:t>
      </w:r>
    </w:p>
    <w:p w:rsidR="00BB600E" w:rsidRDefault="00B277E4">
      <w:pPr>
        <w:spacing w:line="360" w:lineRule="auto"/>
        <w:jc w:val="center"/>
        <w:rPr>
          <w:rFonts w:ascii="Arial" w:eastAsia="Arial" w:hAnsi="Arial" w:cs="Arial"/>
        </w:rPr>
      </w:pPr>
      <w:r>
        <w:rPr>
          <w:rFonts w:ascii="Arial" w:eastAsia="Arial" w:hAnsi="Arial" w:cs="Arial"/>
        </w:rPr>
        <w:t>y3 = 0</w:t>
      </w:r>
    </w:p>
    <w:p w:rsidR="00BB600E" w:rsidRDefault="00BB600E">
      <w:pPr>
        <w:spacing w:line="360" w:lineRule="auto"/>
        <w:jc w:val="both"/>
        <w:rPr>
          <w:rFonts w:ascii="Arial" w:eastAsia="Arial" w:hAnsi="Arial" w:cs="Arial"/>
          <w:color w:val="000000"/>
        </w:rPr>
      </w:pP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b/>
          <w:color w:val="000000"/>
          <w:u w:val="single"/>
        </w:rPr>
      </w:pPr>
      <w:r>
        <w:rPr>
          <w:rFonts w:ascii="Arial" w:eastAsia="Arial" w:hAnsi="Arial" w:cs="Arial"/>
          <w:b/>
          <w:color w:val="000000"/>
          <w:u w:val="single"/>
        </w:rPr>
        <w:t>Capacidad de detección de la conducta (p)</w:t>
      </w:r>
    </w:p>
    <w:p w:rsidR="00BB600E" w:rsidRDefault="00B277E4">
      <w:pPr>
        <w:spacing w:line="360" w:lineRule="auto"/>
        <w:jc w:val="both"/>
        <w:rPr>
          <w:rFonts w:ascii="Arial" w:eastAsia="Arial" w:hAnsi="Arial" w:cs="Arial"/>
          <w:i/>
          <w:color w:val="000000"/>
        </w:rPr>
      </w:pPr>
      <w:r>
        <w:rPr>
          <w:rFonts w:ascii="Arial" w:eastAsia="Arial" w:hAnsi="Arial" w:cs="Arial"/>
          <w:i/>
          <w:color w:val="000000"/>
        </w:rPr>
        <w:t>“Es la posibilidad de que la autoridad ambiental detecte la ocurrencia de una infracción ambiental.”</w:t>
      </w:r>
    </w:p>
    <w:p w:rsidR="00BB600E" w:rsidRDefault="00BB600E">
      <w:pPr>
        <w:spacing w:line="360" w:lineRule="auto"/>
        <w:jc w:val="both"/>
        <w:rPr>
          <w:rFonts w:ascii="Arial" w:eastAsia="Arial" w:hAnsi="Arial" w:cs="Arial"/>
          <w:i/>
          <w:color w:val="000000"/>
        </w:rPr>
      </w:pPr>
    </w:p>
    <w:p w:rsidR="00BB600E" w:rsidRDefault="00B277E4">
      <w:pPr>
        <w:spacing w:line="360" w:lineRule="auto"/>
        <w:jc w:val="both"/>
        <w:rPr>
          <w:rFonts w:ascii="Arial" w:eastAsia="Arial" w:hAnsi="Arial" w:cs="Arial"/>
          <w:color w:val="000000"/>
        </w:rPr>
      </w:pPr>
      <w:r>
        <w:rPr>
          <w:rFonts w:ascii="Arial" w:eastAsia="Arial" w:hAnsi="Arial" w:cs="Arial"/>
          <w:color w:val="000000"/>
        </w:rPr>
        <w:t>Se han determinado los siguientes valores para establecer la capacidad de detección de le Autoridad Ambiental:</w:t>
      </w:r>
    </w:p>
    <w:p w:rsidR="00BB600E" w:rsidRDefault="00BB600E">
      <w:pPr>
        <w:spacing w:line="360" w:lineRule="auto"/>
        <w:jc w:val="both"/>
        <w:rPr>
          <w:rFonts w:ascii="Arial" w:eastAsia="Arial" w:hAnsi="Arial" w:cs="Arial"/>
          <w:color w:val="000000"/>
        </w:rPr>
      </w:pPr>
    </w:p>
    <w:p w:rsidR="00BB600E" w:rsidRDefault="00B277E4" w:rsidP="00A8598B">
      <w:pPr>
        <w:numPr>
          <w:ilvl w:val="0"/>
          <w:numId w:val="4"/>
        </w:numPr>
        <w:pBdr>
          <w:top w:val="nil"/>
          <w:left w:val="nil"/>
          <w:bottom w:val="nil"/>
          <w:right w:val="nil"/>
          <w:between w:val="nil"/>
        </w:pBdr>
        <w:spacing w:line="360" w:lineRule="auto"/>
        <w:jc w:val="both"/>
        <w:rPr>
          <w:rFonts w:ascii="Arial" w:eastAsia="Arial" w:hAnsi="Arial" w:cs="Arial"/>
          <w:color w:val="000000"/>
        </w:rPr>
      </w:pPr>
      <w:r>
        <w:rPr>
          <w:rFonts w:ascii="Arial" w:eastAsia="Arial" w:hAnsi="Arial" w:cs="Arial"/>
          <w:color w:val="000000"/>
        </w:rPr>
        <w:t>Capacidad de detección baja: p = 0.40</w:t>
      </w:r>
    </w:p>
    <w:p w:rsidR="00BB600E" w:rsidRDefault="00B277E4" w:rsidP="00A8598B">
      <w:pPr>
        <w:numPr>
          <w:ilvl w:val="0"/>
          <w:numId w:val="4"/>
        </w:numPr>
        <w:pBdr>
          <w:top w:val="nil"/>
          <w:left w:val="nil"/>
          <w:bottom w:val="nil"/>
          <w:right w:val="nil"/>
          <w:between w:val="nil"/>
        </w:pBdr>
        <w:spacing w:line="360" w:lineRule="auto"/>
        <w:jc w:val="both"/>
        <w:rPr>
          <w:rFonts w:ascii="Arial" w:eastAsia="Arial" w:hAnsi="Arial" w:cs="Arial"/>
          <w:color w:val="000000"/>
        </w:rPr>
      </w:pPr>
      <w:r>
        <w:rPr>
          <w:rFonts w:ascii="Arial" w:eastAsia="Arial" w:hAnsi="Arial" w:cs="Arial"/>
          <w:color w:val="000000"/>
        </w:rPr>
        <w:t>Capacidad de detección media: p = 0.45</w:t>
      </w:r>
    </w:p>
    <w:p w:rsidR="00BB600E" w:rsidRDefault="00B277E4" w:rsidP="00A8598B">
      <w:pPr>
        <w:numPr>
          <w:ilvl w:val="0"/>
          <w:numId w:val="4"/>
        </w:numPr>
        <w:pBdr>
          <w:top w:val="nil"/>
          <w:left w:val="nil"/>
          <w:bottom w:val="nil"/>
          <w:right w:val="nil"/>
          <w:between w:val="nil"/>
        </w:pBdr>
        <w:spacing w:line="360" w:lineRule="auto"/>
        <w:jc w:val="both"/>
        <w:rPr>
          <w:rFonts w:ascii="Arial" w:eastAsia="Arial" w:hAnsi="Arial" w:cs="Arial"/>
          <w:color w:val="000000"/>
        </w:rPr>
      </w:pPr>
      <w:r>
        <w:rPr>
          <w:rFonts w:ascii="Arial" w:eastAsia="Arial" w:hAnsi="Arial" w:cs="Arial"/>
          <w:color w:val="000000"/>
        </w:rPr>
        <w:t>Capacidad de detección alta: p</w:t>
      </w:r>
      <w:r w:rsidR="00C17F32">
        <w:rPr>
          <w:rFonts w:ascii="Arial" w:eastAsia="Arial" w:hAnsi="Arial" w:cs="Arial"/>
          <w:color w:val="000000"/>
        </w:rPr>
        <w:t xml:space="preserve"> </w:t>
      </w:r>
      <w:r>
        <w:rPr>
          <w:rFonts w:ascii="Arial" w:eastAsia="Arial" w:hAnsi="Arial" w:cs="Arial"/>
          <w:color w:val="000000"/>
        </w:rPr>
        <w:t>=</w:t>
      </w:r>
      <w:r w:rsidR="00C17F32">
        <w:rPr>
          <w:rFonts w:ascii="Arial" w:eastAsia="Arial" w:hAnsi="Arial" w:cs="Arial"/>
          <w:color w:val="000000"/>
        </w:rPr>
        <w:t xml:space="preserve"> </w:t>
      </w:r>
      <w:r>
        <w:rPr>
          <w:rFonts w:ascii="Arial" w:eastAsia="Arial" w:hAnsi="Arial" w:cs="Arial"/>
          <w:color w:val="000000"/>
        </w:rPr>
        <w:t>0.50</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color w:val="000000"/>
        </w:rPr>
      </w:pPr>
      <w:r>
        <w:rPr>
          <w:rFonts w:ascii="Arial" w:eastAsia="Arial" w:hAnsi="Arial" w:cs="Arial"/>
          <w:color w:val="000000"/>
        </w:rPr>
        <w:t xml:space="preserve">Como se mencionó con antelación, existe un beneficio ilícito relacionado con los costos evitados y como quiera que este no pudo ser calculado, se considera como $0 y se aplica la octava circunstancia de agravación conforme lo señala el artículo 9 de la Resolución 2086 de 2010 del MAVDT.  </w:t>
      </w:r>
    </w:p>
    <w:p w:rsidR="00BB600E" w:rsidRPr="00A8598B" w:rsidRDefault="00B277E4" w:rsidP="00A8598B">
      <w:pPr>
        <w:spacing w:line="360" w:lineRule="auto"/>
        <w:jc w:val="center"/>
        <w:rPr>
          <w:rFonts w:ascii="Arial" w:eastAsia="Arial" w:hAnsi="Arial" w:cs="Arial"/>
          <w:b/>
          <w:color w:val="FF0000"/>
        </w:rPr>
      </w:pPr>
      <w:r>
        <w:rPr>
          <w:rFonts w:ascii="Arial" w:eastAsia="Arial" w:hAnsi="Arial" w:cs="Arial"/>
          <w:b/>
          <w:color w:val="000000"/>
        </w:rPr>
        <w:t>B = $0</w:t>
      </w:r>
    </w:p>
    <w:p w:rsidR="00BB600E" w:rsidRDefault="00BB600E">
      <w:pPr>
        <w:spacing w:line="360" w:lineRule="auto"/>
        <w:jc w:val="both"/>
        <w:rPr>
          <w:rFonts w:ascii="Arial" w:eastAsia="Arial" w:hAnsi="Arial" w:cs="Arial"/>
          <w:b/>
          <w:color w:val="000000"/>
        </w:rPr>
      </w:pPr>
    </w:p>
    <w:p w:rsidR="00BB600E" w:rsidRDefault="00B277E4">
      <w:pPr>
        <w:pStyle w:val="Ttulo2"/>
        <w:numPr>
          <w:ilvl w:val="1"/>
          <w:numId w:val="2"/>
        </w:numPr>
        <w:spacing w:before="0" w:after="0" w:line="360" w:lineRule="auto"/>
        <w:rPr>
          <w:rFonts w:eastAsia="Arial" w:cs="Arial"/>
          <w:sz w:val="24"/>
          <w:szCs w:val="24"/>
        </w:rPr>
      </w:pPr>
      <w:r>
        <w:rPr>
          <w:rFonts w:eastAsia="Arial" w:cs="Arial"/>
          <w:sz w:val="24"/>
          <w:szCs w:val="24"/>
        </w:rPr>
        <w:t>TEMPORALIDAD (α)</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color w:val="000000"/>
        </w:rPr>
      </w:pPr>
      <w:r>
        <w:rPr>
          <w:rFonts w:ascii="Arial" w:eastAsia="Arial" w:hAnsi="Arial" w:cs="Arial"/>
          <w:color w:val="000000"/>
        </w:rPr>
        <w:lastRenderedPageBreak/>
        <w:t>Es el factor que considera la duración de la infracción ambiental, identificando si ésta se presenta de manera instantánea o continua en el tiempo.</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color w:val="000000"/>
        </w:rPr>
      </w:pPr>
      <w:r>
        <w:rPr>
          <w:rFonts w:ascii="Arial" w:eastAsia="Arial" w:hAnsi="Arial" w:cs="Arial"/>
          <w:color w:val="000000"/>
        </w:rPr>
        <w:t>Este valor se encuentra acotado entre 1 y 4, en donde 1 representa una actuación instantánea y 4 una acción sucesiva de 365 días o más</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rPr>
      </w:pPr>
      <w:r>
        <w:rPr>
          <w:rFonts w:ascii="Arial" w:eastAsia="Arial" w:hAnsi="Arial" w:cs="Arial"/>
        </w:rPr>
        <w:t xml:space="preserve">La variable alfa (α) se calcula aplicando la siguiente relación: </w:t>
      </w:r>
    </w:p>
    <w:p w:rsidR="00BB600E" w:rsidRDefault="00BB600E">
      <w:pPr>
        <w:spacing w:line="360" w:lineRule="auto"/>
        <w:jc w:val="both"/>
        <w:rPr>
          <w:rFonts w:ascii="Arial" w:eastAsia="Arial" w:hAnsi="Arial" w:cs="Arial"/>
          <w:color w:val="000000"/>
        </w:rPr>
      </w:pPr>
    </w:p>
    <w:p w:rsidR="00BB600E" w:rsidRDefault="00B277E4">
      <w:pPr>
        <w:jc w:val="center"/>
        <w:rPr>
          <w:rFonts w:ascii="Cambria Math" w:eastAsia="Cambria Math" w:hAnsi="Cambria Math" w:cs="Cambria Math"/>
          <w:color w:val="000000"/>
        </w:rPr>
      </w:pPr>
      <m:oMathPara>
        <m:oMath>
          <m:r>
            <w:rPr>
              <w:rFonts w:ascii="Cambria Math" w:eastAsia="Cambria Math" w:hAnsi="Cambria Math" w:cs="Cambria Math"/>
              <w:color w:val="000000"/>
            </w:rPr>
            <m:t>α  =</m:t>
          </m:r>
          <m:d>
            <m:dPr>
              <m:ctrlPr>
                <w:rPr>
                  <w:rFonts w:ascii="Cambria Math" w:eastAsia="Cambria Math" w:hAnsi="Cambria Math" w:cs="Cambria Math"/>
                  <w:color w:val="000000"/>
                </w:rPr>
              </m:ctrlPr>
            </m:dPr>
            <m:e>
              <m:f>
                <m:fPr>
                  <m:ctrlPr>
                    <w:rPr>
                      <w:rFonts w:ascii="Cambria Math" w:eastAsia="Cambria Math" w:hAnsi="Cambria Math" w:cs="Cambria Math"/>
                      <w:color w:val="000000"/>
                    </w:rPr>
                  </m:ctrlPr>
                </m:fPr>
                <m:num>
                  <m:r>
                    <w:rPr>
                      <w:rFonts w:ascii="Cambria Math" w:eastAsia="Cambria Math" w:hAnsi="Cambria Math" w:cs="Cambria Math"/>
                      <w:color w:val="000000"/>
                    </w:rPr>
                    <m:t>3</m:t>
                  </m:r>
                </m:num>
                <m:den>
                  <m:r>
                    <w:rPr>
                      <w:rFonts w:ascii="Cambria Math" w:eastAsia="Cambria Math" w:hAnsi="Cambria Math" w:cs="Cambria Math"/>
                      <w:color w:val="000000"/>
                    </w:rPr>
                    <m:t>364</m:t>
                  </m:r>
                </m:den>
              </m:f>
              <m:r>
                <w:rPr>
                  <w:rFonts w:ascii="Cambria Math" w:eastAsia="Cambria Math" w:hAnsi="Cambria Math" w:cs="Cambria Math"/>
                  <w:color w:val="000000"/>
                </w:rPr>
                <m:t>×d</m:t>
              </m:r>
            </m:e>
          </m:d>
          <m:r>
            <w:rPr>
              <w:rFonts w:ascii="Cambria Math" w:eastAsia="Cambria Math" w:hAnsi="Cambria Math" w:cs="Cambria Math"/>
              <w:color w:val="000000"/>
            </w:rPr>
            <m:t>+</m:t>
          </m:r>
          <m:d>
            <m:dPr>
              <m:ctrlPr>
                <w:rPr>
                  <w:rFonts w:ascii="Cambria Math" w:eastAsia="Cambria Math" w:hAnsi="Cambria Math" w:cs="Cambria Math"/>
                  <w:color w:val="000000"/>
                </w:rPr>
              </m:ctrlPr>
            </m:dPr>
            <m:e>
              <m:r>
                <w:rPr>
                  <w:rFonts w:ascii="Cambria Math" w:eastAsia="Cambria Math" w:hAnsi="Cambria Math" w:cs="Cambria Math"/>
                  <w:color w:val="000000"/>
                </w:rPr>
                <m:t xml:space="preserve">1- </m:t>
              </m:r>
              <m:f>
                <m:fPr>
                  <m:ctrlPr>
                    <w:rPr>
                      <w:rFonts w:ascii="Cambria Math" w:eastAsia="Cambria Math" w:hAnsi="Cambria Math" w:cs="Cambria Math"/>
                      <w:color w:val="000000"/>
                    </w:rPr>
                  </m:ctrlPr>
                </m:fPr>
                <m:num>
                  <m:r>
                    <w:rPr>
                      <w:rFonts w:ascii="Cambria Math" w:eastAsia="Cambria Math" w:hAnsi="Cambria Math" w:cs="Cambria Math"/>
                      <w:color w:val="000000"/>
                    </w:rPr>
                    <m:t>3</m:t>
                  </m:r>
                </m:num>
                <m:den>
                  <m:r>
                    <w:rPr>
                      <w:rFonts w:ascii="Cambria Math" w:eastAsia="Cambria Math" w:hAnsi="Cambria Math" w:cs="Cambria Math"/>
                      <w:color w:val="000000"/>
                    </w:rPr>
                    <m:t>364</m:t>
                  </m:r>
                </m:den>
              </m:f>
            </m:e>
          </m:d>
        </m:oMath>
      </m:oMathPara>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rPr>
      </w:pPr>
      <w:r>
        <w:rPr>
          <w:rFonts w:ascii="Arial" w:eastAsia="Arial" w:hAnsi="Arial" w:cs="Arial"/>
          <w:b/>
          <w:color w:val="000000"/>
        </w:rPr>
        <w:t>Cargos primero y segundo</w:t>
      </w:r>
    </w:p>
    <w:p w:rsidR="00BB600E" w:rsidRDefault="00B277E4">
      <w:pPr>
        <w:spacing w:line="360" w:lineRule="auto"/>
        <w:jc w:val="both"/>
        <w:rPr>
          <w:rFonts w:ascii="Arial" w:eastAsia="Arial" w:hAnsi="Arial" w:cs="Arial"/>
          <w:color w:val="000000"/>
        </w:rPr>
      </w:pPr>
      <w:r>
        <w:rPr>
          <w:rFonts w:ascii="Arial" w:eastAsia="Arial" w:hAnsi="Arial" w:cs="Arial"/>
          <w:color w:val="000000"/>
        </w:rPr>
        <w:t>Teniendo en cuenta que las infracciones fueron detectadas el día 10/04/2012 y que no se tiene evidencia de su continuidad, se considera una actuación instantánea.</w:t>
      </w:r>
    </w:p>
    <w:p w:rsidR="00BB600E" w:rsidRDefault="00BB600E">
      <w:pPr>
        <w:spacing w:line="360" w:lineRule="auto"/>
        <w:rPr>
          <w:rFonts w:ascii="Arial" w:eastAsia="Arial" w:hAnsi="Arial" w:cs="Arial"/>
          <w:color w:val="000000"/>
        </w:rPr>
      </w:pPr>
    </w:p>
    <w:p w:rsidR="00BB600E" w:rsidRPr="007D0E11" w:rsidRDefault="00B277E4">
      <w:pPr>
        <w:spacing w:line="360" w:lineRule="auto"/>
        <w:jc w:val="center"/>
        <w:rPr>
          <w:rFonts w:ascii="Arial" w:eastAsia="Arial" w:hAnsi="Arial" w:cs="Arial"/>
          <w:b/>
          <w:color w:val="000000"/>
        </w:rPr>
      </w:pPr>
      <w:r w:rsidRPr="007D0E11">
        <w:rPr>
          <w:rFonts w:ascii="Arial" w:eastAsia="Arial" w:hAnsi="Arial" w:cs="Arial"/>
          <w:b/>
          <w:color w:val="000000"/>
        </w:rPr>
        <w:t>α = 1</w:t>
      </w:r>
    </w:p>
    <w:p w:rsidR="00BB600E" w:rsidRDefault="00BB600E">
      <w:pPr>
        <w:spacing w:line="360" w:lineRule="auto"/>
        <w:rPr>
          <w:rFonts w:ascii="Arial" w:eastAsia="Arial" w:hAnsi="Arial" w:cs="Arial"/>
          <w:color w:val="000000"/>
        </w:rPr>
      </w:pPr>
    </w:p>
    <w:p w:rsidR="00104354" w:rsidRPr="00104354" w:rsidRDefault="00104354" w:rsidP="00104354">
      <w:pPr>
        <w:pStyle w:val="NormalWeb"/>
        <w:numPr>
          <w:ilvl w:val="1"/>
          <w:numId w:val="2"/>
        </w:numPr>
        <w:spacing w:before="0" w:beforeAutospacing="0" w:after="200" w:afterAutospacing="0" w:line="360" w:lineRule="auto"/>
        <w:jc w:val="both"/>
        <w:textAlignment w:val="baseline"/>
        <w:rPr>
          <w:rFonts w:ascii="Arial" w:hAnsi="Arial" w:cs="Arial"/>
          <w:b/>
          <w:bCs/>
          <w:color w:val="000000"/>
          <w:szCs w:val="22"/>
        </w:rPr>
      </w:pPr>
      <w:bookmarkStart w:id="7" w:name="_heading=h.tyjcwt" w:colFirst="0" w:colLast="0"/>
      <w:bookmarkEnd w:id="7"/>
      <w:r>
        <w:rPr>
          <w:rFonts w:ascii="Arial" w:hAnsi="Arial" w:cs="Arial"/>
          <w:b/>
          <w:bCs/>
          <w:color w:val="000000"/>
          <w:szCs w:val="22"/>
        </w:rPr>
        <w:t xml:space="preserve"> GRADO DE AFECTACIÓN AMBIENTAL Y/O EVALUACIÓN DEL RIESGO (R)</w:t>
      </w: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De acuerdo con la comunicación ANLA 4120-E2-2987 de 23 de julio de 2014, se indicó.</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i/>
          <w:iCs/>
          <w:color w:val="000000"/>
          <w:szCs w:val="22"/>
        </w:rPr>
        <w:t>“(...) En el marco de las infracciones ambientales se presentan tres escenarios:</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i/>
          <w:iCs/>
          <w:color w:val="000000"/>
          <w:szCs w:val="22"/>
        </w:rPr>
        <w:lastRenderedPageBreak/>
        <w:t>1. Infracciones que originaron afectación ambiental</w:t>
      </w: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i/>
          <w:iCs/>
          <w:color w:val="000000"/>
          <w:szCs w:val="22"/>
        </w:rPr>
        <w:t>2. Infracciones que no se concretaron en afectaciones ambientales, pero expusieron o pusieron en riesgo algún o algunos bienes de protección ambientales.</w:t>
      </w: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i/>
          <w:iCs/>
          <w:color w:val="000000"/>
          <w:szCs w:val="22"/>
        </w:rPr>
        <w:t>3. Meras infracciones ambientales —Solo son incumplimientos ambientales, que no repercuten en bienes de protección ambientales.</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i/>
          <w:iCs/>
          <w:color w:val="000000"/>
          <w:szCs w:val="22"/>
        </w:rPr>
        <w:t>Los dos primeros escenarios se encuentran establecidos en la resolución 2086 de 2010 y desarrollados en el Manual Conceptual Manual Conceptual y Procedimental de la Metodología para el Cálculo de Multas por Infracción a la Normatividad Ambiental. (...)” </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Ahora bien, de acuerdo con el memorando 2024IE249123 de 29 de noviembre de 2024 emitido por la Subdirección de Calidad del Aire, Auditiva y Visual - SCAAV de la Secretaría Distrital de Ambiente, en donde se precisa que “la emisión de ruido es un contaminante físico de características temporales instantáneas (ejecución instantánea) que requiere de poca energía para ser generado, no deja residuos, ni es acumulativo en el medio, es localizado, por lo que su radio de afectación es reducido, es percibido solamente por el sentido del oído y tiene un componente subjetivo importante, ya que la sensación de molestia según la amplitud del sonido, varía con las personas. Por ende, no constituyen un riesgo o afectación ambiental”.</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 xml:space="preserve">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Nº 16F suscrito entre el Fondo Nacional Ambiental –FONAM y la Universidad de Antioquia, denominado “PROYECTO: </w:t>
      </w:r>
      <w:r w:rsidRPr="00104354">
        <w:rPr>
          <w:rFonts w:ascii="Arial" w:hAnsi="Arial" w:cs="Arial"/>
          <w:color w:val="000000"/>
          <w:szCs w:val="22"/>
        </w:rPr>
        <w:lastRenderedPageBreak/>
        <w:t>DESARROLLO DE UNA METODOLOGÍA PARA EL CÁLCULO DE SANCIONES PECUNIARIAS, DERIVADAS DE LAS INFRACCIONES A LA NORMATIVIDAD AMBIENTAL O POR DAÑO AMBIENTAL” que es el insumo para el desarrollo de la Metodología para el cálculo de multas desarrollado en la Resolución 2086 de 2010, en el que se tiene lo siguiente:</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i/>
          <w:iCs/>
          <w:color w:val="000000"/>
          <w:szCs w:val="22"/>
        </w:rPr>
        <w:t>“Es importante tener en cuenta que en el caso en que la infracción no genere potencialmente ningún tipo de impacto, el riesgo tomará valores entre 1 y 3, según la GRAVEDAD del incumplimiento a la norma, es decir, 1≤r≤3 (...)”. </w:t>
      </w:r>
    </w:p>
    <w:p w:rsidR="00104354" w:rsidRPr="00104354" w:rsidRDefault="00104354" w:rsidP="00104354">
      <w:pPr>
        <w:spacing w:after="240"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En ese sentido y de acuerdo con el concepto técnico No. 05154 del 18 de julio del 2012  se estableció que como resultado de la evaluación el nivel equivalente del aporte sonoro de las fuentes específicas (Leqemisión), es de 58,8 dB(A), por lo que se establece un incumplimiento con los niveles máximos permisibles aceptados por la normatividad ambiental vigente. </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Así las cosas, de acuerdo a lo establecido en la comunicación ANLA para determinar la lesividad de la infracción, para este caso en esp</w:t>
      </w:r>
      <w:bookmarkStart w:id="8" w:name="_GoBack"/>
      <w:bookmarkEnd w:id="8"/>
      <w:r w:rsidRPr="00104354">
        <w:rPr>
          <w:rFonts w:ascii="Arial" w:hAnsi="Arial" w:cs="Arial"/>
          <w:color w:val="000000"/>
          <w:szCs w:val="22"/>
        </w:rPr>
        <w:t>ecífico se revisa la Unidad de Contaminación por Ruido (UCR) del establecimiento, don</w:t>
      </w:r>
      <w:r w:rsidR="00C42348">
        <w:rPr>
          <w:rFonts w:ascii="Arial" w:hAnsi="Arial" w:cs="Arial"/>
          <w:color w:val="000000"/>
          <w:szCs w:val="22"/>
        </w:rPr>
        <w:t>de se clasifica como un a</w:t>
      </w:r>
      <w:r w:rsidR="00ED24BB">
        <w:rPr>
          <w:rFonts w:ascii="Arial" w:hAnsi="Arial" w:cs="Arial"/>
          <w:color w:val="000000"/>
          <w:szCs w:val="22"/>
        </w:rPr>
        <w:t>porte c</w:t>
      </w:r>
      <w:r w:rsidRPr="00104354">
        <w:rPr>
          <w:rFonts w:ascii="Arial" w:hAnsi="Arial" w:cs="Arial"/>
          <w:color w:val="000000"/>
          <w:szCs w:val="22"/>
        </w:rPr>
        <w:t xml:space="preserve">ontaminante </w:t>
      </w:r>
      <w:r w:rsidRPr="00ED24BB">
        <w:rPr>
          <w:rFonts w:ascii="Arial" w:hAnsi="Arial" w:cs="Arial"/>
          <w:b/>
          <w:color w:val="000000"/>
          <w:szCs w:val="22"/>
        </w:rPr>
        <w:t>MUY ALTO</w:t>
      </w:r>
      <w:r w:rsidRPr="00104354">
        <w:rPr>
          <w:rFonts w:ascii="Arial" w:hAnsi="Arial" w:cs="Arial"/>
          <w:color w:val="000000"/>
          <w:szCs w:val="22"/>
        </w:rPr>
        <w:t>.</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Por lo tanto, se establece así:</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r= 1 cuando el aporte contaminante sea bajo o medio</w:t>
      </w: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r=2 cuando el aporte contaminante sea alto</w:t>
      </w: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r=3 cuando el aporte contaminante sea muy alto</w:t>
      </w:r>
    </w:p>
    <w:p w:rsidR="00104354" w:rsidRPr="00104354" w:rsidRDefault="00104354" w:rsidP="00104354">
      <w:pPr>
        <w:spacing w:line="360" w:lineRule="auto"/>
        <w:jc w:val="center"/>
        <w:rPr>
          <w:rFonts w:ascii="Arial" w:hAnsi="Arial" w:cs="Arial"/>
          <w:sz w:val="28"/>
        </w:rPr>
      </w:pPr>
    </w:p>
    <w:p w:rsidR="00104354" w:rsidRPr="00104354" w:rsidRDefault="00ED24BB" w:rsidP="00104354">
      <w:pPr>
        <w:pStyle w:val="NormalWeb"/>
        <w:spacing w:before="0" w:beforeAutospacing="0" w:after="0" w:afterAutospacing="0" w:line="360" w:lineRule="auto"/>
        <w:jc w:val="center"/>
        <w:rPr>
          <w:rFonts w:ascii="Arial" w:hAnsi="Arial" w:cs="Arial"/>
          <w:b/>
          <w:i/>
          <w:sz w:val="28"/>
        </w:rPr>
      </w:pPr>
      <w:r>
        <w:rPr>
          <w:rFonts w:ascii="Arial" w:hAnsi="Arial" w:cs="Arial"/>
          <w:b/>
          <w:i/>
          <w:color w:val="000000"/>
          <w:szCs w:val="22"/>
        </w:rPr>
        <w:t>r = 3</w:t>
      </w:r>
    </w:p>
    <w:p w:rsidR="00BB600E" w:rsidRDefault="00BB600E">
      <w:pPr>
        <w:spacing w:line="360" w:lineRule="auto"/>
        <w:jc w:val="center"/>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 xml:space="preserve">Obtenido el valor de riesgo, se debe determinar el valor monetario del mismo, a partir de la siguiente ecuación: </w:t>
      </w:r>
    </w:p>
    <w:p w:rsidR="00BB600E" w:rsidRDefault="00BB600E">
      <w:pPr>
        <w:spacing w:line="360" w:lineRule="auto"/>
        <w:jc w:val="center"/>
        <w:rPr>
          <w:rFonts w:ascii="Arial" w:eastAsia="Arial" w:hAnsi="Arial" w:cs="Arial"/>
        </w:rPr>
      </w:pPr>
    </w:p>
    <w:p w:rsidR="00BB600E" w:rsidRDefault="00B277E4">
      <w:pPr>
        <w:jc w:val="center"/>
        <w:rPr>
          <w:rFonts w:ascii="Cambria Math" w:eastAsia="Cambria Math" w:hAnsi="Cambria Math" w:cs="Cambria Math"/>
        </w:rPr>
      </w:pPr>
      <m:oMathPara>
        <m:oMath>
          <m:r>
            <w:rPr>
              <w:rFonts w:ascii="Cambria Math" w:eastAsia="Cambria Math" w:hAnsi="Cambria Math" w:cs="Cambria Math"/>
            </w:rPr>
            <m:t>R=</m:t>
          </m:r>
          <m:d>
            <m:dPr>
              <m:ctrlPr>
                <w:rPr>
                  <w:rFonts w:ascii="Cambria Math" w:eastAsia="Cambria Math" w:hAnsi="Cambria Math" w:cs="Cambria Math"/>
                </w:rPr>
              </m:ctrlPr>
            </m:dPr>
            <m:e>
              <m:r>
                <w:rPr>
                  <w:rFonts w:ascii="Cambria Math" w:eastAsia="Cambria Math" w:hAnsi="Cambria Math" w:cs="Cambria Math"/>
                </w:rPr>
                <m:t>11,03 x SMMLV</m:t>
              </m:r>
            </m:e>
          </m:d>
          <m:r>
            <w:rPr>
              <w:rFonts w:ascii="Cambria Math" w:eastAsia="Cambria Math" w:hAnsi="Cambria Math" w:cs="Cambria Math"/>
            </w:rPr>
            <m:t xml:space="preserve"> r</m:t>
          </m:r>
        </m:oMath>
      </m:oMathPara>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Donde:</w:t>
      </w:r>
    </w:p>
    <w:p w:rsidR="00BB600E" w:rsidRDefault="00B277E4">
      <w:pPr>
        <w:spacing w:line="360" w:lineRule="auto"/>
        <w:jc w:val="both"/>
        <w:rPr>
          <w:rFonts w:ascii="Arial" w:eastAsia="Arial" w:hAnsi="Arial" w:cs="Arial"/>
        </w:rPr>
      </w:pPr>
      <w:r>
        <w:rPr>
          <w:rFonts w:ascii="Arial" w:eastAsia="Arial" w:hAnsi="Arial" w:cs="Arial"/>
        </w:rPr>
        <w:t>R = Valor monetaria de la importancia del riesgo</w:t>
      </w:r>
    </w:p>
    <w:p w:rsidR="00BB600E" w:rsidRDefault="00B277E4">
      <w:pPr>
        <w:spacing w:line="360" w:lineRule="auto"/>
        <w:jc w:val="both"/>
        <w:rPr>
          <w:rFonts w:ascii="Arial" w:eastAsia="Arial" w:hAnsi="Arial" w:cs="Arial"/>
        </w:rPr>
      </w:pPr>
      <w:r>
        <w:rPr>
          <w:rFonts w:ascii="Arial" w:eastAsia="Arial" w:hAnsi="Arial" w:cs="Arial"/>
        </w:rPr>
        <w:t xml:space="preserve">SMMLV = Salario mínimo mensual legal vigente </w:t>
      </w:r>
    </w:p>
    <w:p w:rsidR="00BB600E" w:rsidRDefault="00B277E4">
      <w:pPr>
        <w:spacing w:line="360" w:lineRule="auto"/>
        <w:jc w:val="both"/>
        <w:rPr>
          <w:rFonts w:ascii="Arial" w:eastAsia="Arial" w:hAnsi="Arial" w:cs="Arial"/>
        </w:rPr>
      </w:pPr>
      <w:r>
        <w:rPr>
          <w:rFonts w:ascii="Arial" w:eastAsia="Arial" w:hAnsi="Arial" w:cs="Arial"/>
        </w:rPr>
        <w:t>r = Riesgo</w:t>
      </w:r>
    </w:p>
    <w:p w:rsidR="00BB600E" w:rsidRDefault="00B277E4">
      <w:pPr>
        <w:spacing w:line="360" w:lineRule="auto"/>
        <w:jc w:val="both"/>
        <w:rPr>
          <w:rFonts w:ascii="Arial" w:eastAsia="Arial" w:hAnsi="Arial" w:cs="Arial"/>
        </w:rPr>
      </w:pPr>
      <w:r>
        <w:rPr>
          <w:rFonts w:ascii="Arial" w:eastAsia="Arial" w:hAnsi="Arial" w:cs="Arial"/>
        </w:rPr>
        <w:t>Se procede a calcular el valor monetario de la importancia del riesgo, teniendo en cuenta que el SMMLV es de $ 1.300.000 al 2024 según la página oficial del Ministerio de Trabajo.</w:t>
      </w:r>
    </w:p>
    <w:p w:rsidR="00BB600E" w:rsidRDefault="00BB600E">
      <w:pPr>
        <w:spacing w:line="360" w:lineRule="auto"/>
        <w:jc w:val="both"/>
        <w:rPr>
          <w:rFonts w:ascii="Arial" w:eastAsia="Arial" w:hAnsi="Arial" w:cs="Arial"/>
        </w:rPr>
      </w:pPr>
    </w:p>
    <w:p w:rsidR="00BB600E" w:rsidRDefault="00ED24BB">
      <w:pPr>
        <w:spacing w:line="360" w:lineRule="auto"/>
        <w:jc w:val="center"/>
        <w:rPr>
          <w:rFonts w:ascii="Arial" w:eastAsia="Arial" w:hAnsi="Arial" w:cs="Arial"/>
          <w:color w:val="FF0000"/>
          <w:sz w:val="22"/>
          <w:szCs w:val="22"/>
        </w:rPr>
      </w:pPr>
      <w:r>
        <w:rPr>
          <w:rFonts w:ascii="Arial" w:eastAsia="Arial" w:hAnsi="Arial" w:cs="Arial"/>
        </w:rPr>
        <w:t>R = 11,03 x $1.300.000 x 3</w:t>
      </w:r>
    </w:p>
    <w:p w:rsidR="00BB600E" w:rsidRDefault="00BB600E">
      <w:pPr>
        <w:spacing w:line="360" w:lineRule="auto"/>
        <w:jc w:val="center"/>
        <w:rPr>
          <w:rFonts w:ascii="Arial" w:eastAsia="Arial" w:hAnsi="Arial" w:cs="Arial"/>
          <w:color w:val="FF0000"/>
          <w:sz w:val="22"/>
          <w:szCs w:val="22"/>
        </w:rPr>
      </w:pPr>
    </w:p>
    <w:p w:rsidR="00BB600E" w:rsidRPr="00DB7419" w:rsidRDefault="00B277E4" w:rsidP="00A8598B">
      <w:pPr>
        <w:spacing w:line="360" w:lineRule="auto"/>
        <w:jc w:val="center"/>
        <w:rPr>
          <w:rFonts w:ascii="Arial" w:eastAsia="Arial" w:hAnsi="Arial" w:cs="Arial"/>
          <w:b/>
          <w:szCs w:val="22"/>
        </w:rPr>
      </w:pPr>
      <w:r w:rsidRPr="00DB7419">
        <w:rPr>
          <w:rFonts w:ascii="Arial" w:eastAsia="Arial" w:hAnsi="Arial" w:cs="Arial"/>
          <w:b/>
          <w:szCs w:val="22"/>
        </w:rPr>
        <w:t xml:space="preserve">R = </w:t>
      </w:r>
      <w:r w:rsidR="00DB7419" w:rsidRPr="00DB7419">
        <w:rPr>
          <w:rFonts w:ascii="Arial" w:eastAsia="Arial" w:hAnsi="Arial" w:cs="Arial"/>
          <w:b/>
          <w:szCs w:val="22"/>
        </w:rPr>
        <w:t xml:space="preserve"> $  43.017.000</w:t>
      </w:r>
    </w:p>
    <w:p w:rsidR="00BB600E" w:rsidRDefault="00BB600E">
      <w:pPr>
        <w:spacing w:line="360" w:lineRule="auto"/>
        <w:rPr>
          <w:sz w:val="20"/>
          <w:szCs w:val="20"/>
        </w:rPr>
      </w:pPr>
    </w:p>
    <w:p w:rsidR="00BB600E" w:rsidRDefault="00B277E4">
      <w:pPr>
        <w:pStyle w:val="Ttulo2"/>
        <w:numPr>
          <w:ilvl w:val="1"/>
          <w:numId w:val="2"/>
        </w:numPr>
        <w:spacing w:before="0" w:after="0" w:line="360" w:lineRule="auto"/>
        <w:rPr>
          <w:b w:val="0"/>
          <w:sz w:val="24"/>
          <w:szCs w:val="24"/>
        </w:rPr>
      </w:pPr>
      <w:r>
        <w:rPr>
          <w:rFonts w:eastAsia="Arial" w:cs="Arial"/>
          <w:sz w:val="24"/>
          <w:szCs w:val="24"/>
        </w:rPr>
        <w:t>CIRCUNSTANCIAS AGRAVANTES Y ATENUANTES (A)</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color w:val="2F5496"/>
        </w:rPr>
      </w:pPr>
      <w:r>
        <w:rPr>
          <w:rFonts w:ascii="Arial" w:eastAsia="Arial" w:hAnsi="Arial" w:cs="Arial"/>
          <w:color w:val="000000"/>
        </w:rPr>
        <w:lastRenderedPageBreak/>
        <w:t xml:space="preserve">Para el presente caso, se determinan las siguientes circunstancias agravantes y atenuantes. </w:t>
      </w:r>
    </w:p>
    <w:p w:rsidR="00BB600E" w:rsidRDefault="00BB600E">
      <w:pPr>
        <w:spacing w:line="360" w:lineRule="auto"/>
        <w:jc w:val="both"/>
        <w:rPr>
          <w:rFonts w:ascii="Arial" w:eastAsia="Arial" w:hAnsi="Arial" w:cs="Arial"/>
          <w:color w:val="2F5496"/>
        </w:rPr>
      </w:pPr>
    </w:p>
    <w:p w:rsidR="00BB600E" w:rsidRDefault="00B277E4">
      <w:pPr>
        <w:spacing w:line="360" w:lineRule="auto"/>
        <w:jc w:val="center"/>
        <w:rPr>
          <w:rFonts w:ascii="Arial" w:eastAsia="Arial" w:hAnsi="Arial" w:cs="Arial"/>
          <w:sz w:val="18"/>
          <w:szCs w:val="18"/>
        </w:rPr>
      </w:pPr>
      <w:r>
        <w:rPr>
          <w:rFonts w:ascii="Arial" w:eastAsia="Arial" w:hAnsi="Arial" w:cs="Arial"/>
          <w:sz w:val="18"/>
          <w:szCs w:val="18"/>
        </w:rPr>
        <w:t>Tabla 7. Circunstancias agravantes y atenuantes</w:t>
      </w:r>
    </w:p>
    <w:tbl>
      <w:tblPr>
        <w:tblStyle w:val="a7"/>
        <w:tblW w:w="8533" w:type="dxa"/>
        <w:tblInd w:w="534" w:type="dxa"/>
        <w:tblLayout w:type="fixed"/>
        <w:tblLook w:val="0400" w:firstRow="0" w:lastRow="0" w:firstColumn="0" w:lastColumn="0" w:noHBand="0" w:noVBand="1"/>
      </w:tblPr>
      <w:tblGrid>
        <w:gridCol w:w="3575"/>
        <w:gridCol w:w="3518"/>
        <w:gridCol w:w="1440"/>
      </w:tblGrid>
      <w:tr w:rsidR="00BB600E" w:rsidRPr="00A8598B">
        <w:tc>
          <w:tcPr>
            <w:tcW w:w="3575" w:type="dxa"/>
            <w:tcBorders>
              <w:top w:val="single" w:sz="4" w:space="0" w:color="000000"/>
              <w:left w:val="single" w:sz="4" w:space="0" w:color="000000"/>
              <w:bottom w:val="single" w:sz="4" w:space="0" w:color="000000"/>
              <w:right w:val="nil"/>
            </w:tcBorders>
          </w:tcPr>
          <w:p w:rsidR="00BB600E" w:rsidRPr="00A8598B" w:rsidRDefault="00B277E4">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Circunstancias Agravantes</w:t>
            </w:r>
          </w:p>
        </w:tc>
        <w:tc>
          <w:tcPr>
            <w:tcW w:w="3518" w:type="dxa"/>
            <w:tcBorders>
              <w:top w:val="single" w:sz="4" w:space="0" w:color="000000"/>
              <w:left w:val="single" w:sz="4" w:space="0" w:color="000000"/>
              <w:bottom w:val="single" w:sz="4" w:space="0" w:color="000000"/>
              <w:right w:val="nil"/>
            </w:tcBorders>
          </w:tcPr>
          <w:p w:rsidR="00BB600E" w:rsidRPr="00A8598B" w:rsidRDefault="00B277E4">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Análisis</w:t>
            </w:r>
          </w:p>
        </w:tc>
        <w:tc>
          <w:tcPr>
            <w:tcW w:w="1440" w:type="dxa"/>
            <w:tcBorders>
              <w:top w:val="single" w:sz="4" w:space="0" w:color="000000"/>
              <w:left w:val="single" w:sz="4" w:space="0" w:color="000000"/>
              <w:bottom w:val="single" w:sz="4" w:space="0" w:color="000000"/>
              <w:right w:val="single" w:sz="4" w:space="0" w:color="000000"/>
            </w:tcBorders>
          </w:tcPr>
          <w:p w:rsidR="00BB600E" w:rsidRPr="00A8598B" w:rsidRDefault="00B277E4">
            <w:pPr>
              <w:tabs>
                <w:tab w:val="left" w:pos="-720"/>
                <w:tab w:val="left" w:pos="708"/>
              </w:tabs>
              <w:jc w:val="center"/>
              <w:rPr>
                <w:rFonts w:ascii="Arial" w:eastAsia="Arial" w:hAnsi="Arial" w:cs="Arial"/>
                <w:sz w:val="20"/>
                <w:szCs w:val="18"/>
              </w:rPr>
            </w:pPr>
            <w:r w:rsidRPr="00A8598B">
              <w:rPr>
                <w:rFonts w:ascii="Arial" w:eastAsia="Arial" w:hAnsi="Arial" w:cs="Arial"/>
                <w:b/>
                <w:sz w:val="20"/>
                <w:szCs w:val="18"/>
              </w:rPr>
              <w:t>Valor</w:t>
            </w:r>
          </w:p>
        </w:tc>
      </w:tr>
      <w:tr w:rsidR="00BB600E" w:rsidRPr="00A8598B">
        <w:tc>
          <w:tcPr>
            <w:tcW w:w="3575" w:type="dxa"/>
            <w:tcBorders>
              <w:top w:val="single" w:sz="4" w:space="0" w:color="000000"/>
              <w:left w:val="single" w:sz="4" w:space="0" w:color="000000"/>
              <w:bottom w:val="single" w:sz="4" w:space="0" w:color="000000"/>
              <w:right w:val="nil"/>
            </w:tcBorders>
            <w:vAlign w:val="center"/>
          </w:tcPr>
          <w:p w:rsidR="00BB600E" w:rsidRPr="00A8598B" w:rsidRDefault="00B277E4">
            <w:pPr>
              <w:tabs>
                <w:tab w:val="left" w:pos="-720"/>
                <w:tab w:val="left" w:pos="708"/>
              </w:tabs>
              <w:jc w:val="both"/>
              <w:rPr>
                <w:rFonts w:ascii="Arial" w:eastAsia="Arial" w:hAnsi="Arial" w:cs="Arial"/>
                <w:sz w:val="20"/>
                <w:szCs w:val="18"/>
              </w:rPr>
            </w:pPr>
            <w:r w:rsidRPr="00A8598B">
              <w:rPr>
                <w:rFonts w:ascii="Arial" w:eastAsia="Arial" w:hAnsi="Arial" w:cs="Arial"/>
                <w:sz w:val="20"/>
                <w:szCs w:val="18"/>
              </w:rPr>
              <w:t>Obtener provecho económico para si o para un tercero</w:t>
            </w:r>
          </w:p>
        </w:tc>
        <w:tc>
          <w:tcPr>
            <w:tcW w:w="3518" w:type="dxa"/>
            <w:tcBorders>
              <w:top w:val="single" w:sz="4" w:space="0" w:color="000000"/>
              <w:left w:val="single" w:sz="4" w:space="0" w:color="000000"/>
              <w:bottom w:val="single" w:sz="4" w:space="0" w:color="000000"/>
              <w:right w:val="nil"/>
            </w:tcBorders>
          </w:tcPr>
          <w:p w:rsidR="00BB600E" w:rsidRPr="00A8598B" w:rsidRDefault="00B277E4">
            <w:pPr>
              <w:jc w:val="both"/>
              <w:rPr>
                <w:rFonts w:ascii="Arial" w:eastAsia="Arial" w:hAnsi="Arial" w:cs="Arial"/>
                <w:sz w:val="20"/>
                <w:szCs w:val="18"/>
              </w:rPr>
            </w:pPr>
            <w:r w:rsidRPr="00A8598B">
              <w:rPr>
                <w:rFonts w:ascii="Arial" w:eastAsia="Arial" w:hAnsi="Arial" w:cs="Arial"/>
                <w:sz w:val="20"/>
                <w:szCs w:val="18"/>
              </w:rPr>
              <w:t>Como se mencionó anteriormente existe un beneficio ilícito relacionado con los costos evitados el cual no pudo ser calculado. En consecuencia, se debe aplicar esta circunstancia de agravación, tal como lo establece la Metodología para el Cálculo de Multas por Infracción a la Normativa Ambienta</w:t>
            </w:r>
          </w:p>
        </w:tc>
        <w:tc>
          <w:tcPr>
            <w:tcW w:w="1440" w:type="dxa"/>
            <w:tcBorders>
              <w:top w:val="single" w:sz="4" w:space="0" w:color="000000"/>
              <w:left w:val="single" w:sz="4" w:space="0" w:color="000000"/>
              <w:bottom w:val="single" w:sz="4" w:space="0" w:color="000000"/>
              <w:right w:val="single" w:sz="4" w:space="0" w:color="000000"/>
            </w:tcBorders>
            <w:vAlign w:val="center"/>
          </w:tcPr>
          <w:p w:rsidR="00BB600E" w:rsidRPr="00A8598B" w:rsidRDefault="00B277E4" w:rsidP="00A8598B">
            <w:pPr>
              <w:tabs>
                <w:tab w:val="left" w:pos="-720"/>
                <w:tab w:val="left" w:pos="708"/>
              </w:tabs>
              <w:jc w:val="center"/>
              <w:rPr>
                <w:rFonts w:ascii="Arial" w:eastAsia="Arial" w:hAnsi="Arial" w:cs="Arial"/>
                <w:sz w:val="20"/>
                <w:szCs w:val="18"/>
              </w:rPr>
            </w:pPr>
            <w:r w:rsidRPr="00A8598B">
              <w:rPr>
                <w:rFonts w:ascii="Arial" w:eastAsia="Arial" w:hAnsi="Arial" w:cs="Arial"/>
                <w:sz w:val="20"/>
                <w:szCs w:val="18"/>
              </w:rPr>
              <w:t>0,2</w:t>
            </w:r>
          </w:p>
        </w:tc>
      </w:tr>
      <w:tr w:rsidR="00BB600E" w:rsidRPr="00A8598B">
        <w:tc>
          <w:tcPr>
            <w:tcW w:w="7093" w:type="dxa"/>
            <w:gridSpan w:val="2"/>
            <w:tcBorders>
              <w:top w:val="single" w:sz="4" w:space="0" w:color="000000"/>
              <w:left w:val="single" w:sz="4" w:space="0" w:color="000000"/>
              <w:bottom w:val="single" w:sz="4" w:space="0" w:color="000000"/>
              <w:right w:val="nil"/>
            </w:tcBorders>
          </w:tcPr>
          <w:p w:rsidR="00BB600E" w:rsidRPr="00A8598B" w:rsidRDefault="00B277E4" w:rsidP="00A8598B">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Total, agravantes</w:t>
            </w:r>
          </w:p>
        </w:tc>
        <w:tc>
          <w:tcPr>
            <w:tcW w:w="1440" w:type="dxa"/>
            <w:tcBorders>
              <w:top w:val="single" w:sz="4" w:space="0" w:color="000000"/>
              <w:left w:val="single" w:sz="4" w:space="0" w:color="000000"/>
              <w:bottom w:val="single" w:sz="4" w:space="0" w:color="000000"/>
              <w:right w:val="single" w:sz="4" w:space="0" w:color="000000"/>
            </w:tcBorders>
            <w:vAlign w:val="center"/>
          </w:tcPr>
          <w:p w:rsidR="00BB600E" w:rsidRPr="00A8598B" w:rsidRDefault="00B277E4" w:rsidP="00A8598B">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0,2</w:t>
            </w:r>
          </w:p>
        </w:tc>
      </w:tr>
      <w:tr w:rsidR="00BB600E" w:rsidRPr="00A8598B">
        <w:tc>
          <w:tcPr>
            <w:tcW w:w="3575" w:type="dxa"/>
            <w:tcBorders>
              <w:top w:val="single" w:sz="4" w:space="0" w:color="000000"/>
              <w:left w:val="single" w:sz="4" w:space="0" w:color="000000"/>
              <w:bottom w:val="single" w:sz="4" w:space="0" w:color="000000"/>
              <w:right w:val="nil"/>
            </w:tcBorders>
          </w:tcPr>
          <w:p w:rsidR="00BB600E" w:rsidRPr="00A8598B" w:rsidRDefault="00B277E4" w:rsidP="00A8598B">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Circunstancias atenuantes</w:t>
            </w:r>
          </w:p>
        </w:tc>
        <w:tc>
          <w:tcPr>
            <w:tcW w:w="3518" w:type="dxa"/>
            <w:tcBorders>
              <w:top w:val="single" w:sz="4" w:space="0" w:color="000000"/>
              <w:left w:val="single" w:sz="4" w:space="0" w:color="000000"/>
              <w:bottom w:val="single" w:sz="4" w:space="0" w:color="000000"/>
              <w:right w:val="nil"/>
            </w:tcBorders>
          </w:tcPr>
          <w:p w:rsidR="00BB600E" w:rsidRPr="00A8598B" w:rsidRDefault="00B277E4" w:rsidP="00A8598B">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Análisis</w:t>
            </w:r>
          </w:p>
        </w:tc>
        <w:tc>
          <w:tcPr>
            <w:tcW w:w="1440" w:type="dxa"/>
            <w:tcBorders>
              <w:top w:val="single" w:sz="4" w:space="0" w:color="000000"/>
              <w:left w:val="single" w:sz="4" w:space="0" w:color="000000"/>
              <w:bottom w:val="single" w:sz="4" w:space="0" w:color="000000"/>
              <w:right w:val="single" w:sz="4" w:space="0" w:color="000000"/>
            </w:tcBorders>
          </w:tcPr>
          <w:p w:rsidR="00BB600E" w:rsidRPr="00A8598B" w:rsidRDefault="00B277E4" w:rsidP="00A8598B">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Valor</w:t>
            </w:r>
          </w:p>
        </w:tc>
      </w:tr>
      <w:tr w:rsidR="00BB600E" w:rsidRPr="00A8598B">
        <w:tc>
          <w:tcPr>
            <w:tcW w:w="3575" w:type="dxa"/>
            <w:tcBorders>
              <w:top w:val="single" w:sz="4" w:space="0" w:color="000000"/>
              <w:left w:val="single" w:sz="4" w:space="0" w:color="000000"/>
              <w:bottom w:val="single" w:sz="4" w:space="0" w:color="000000"/>
              <w:right w:val="nil"/>
            </w:tcBorders>
            <w:vAlign w:val="center"/>
          </w:tcPr>
          <w:p w:rsidR="00BB600E" w:rsidRPr="00A8598B" w:rsidRDefault="00B277E4">
            <w:pPr>
              <w:tabs>
                <w:tab w:val="left" w:pos="-720"/>
                <w:tab w:val="left" w:pos="708"/>
              </w:tabs>
              <w:jc w:val="both"/>
              <w:rPr>
                <w:rFonts w:ascii="Arial" w:eastAsia="Arial" w:hAnsi="Arial" w:cs="Arial"/>
                <w:sz w:val="20"/>
                <w:szCs w:val="18"/>
              </w:rPr>
            </w:pPr>
            <w:r w:rsidRPr="00A8598B">
              <w:rPr>
                <w:rFonts w:ascii="Arial" w:eastAsia="Arial" w:hAnsi="Arial" w:cs="Arial"/>
                <w:sz w:val="20"/>
                <w:szCs w:val="18"/>
              </w:rPr>
              <w:t>Que con la infracción no exista daño al medio ambiente, a los recursos naturales, al paisaje o la salud humana</w:t>
            </w:r>
          </w:p>
        </w:tc>
        <w:tc>
          <w:tcPr>
            <w:tcW w:w="3518" w:type="dxa"/>
            <w:tcBorders>
              <w:top w:val="single" w:sz="4" w:space="0" w:color="000000"/>
              <w:left w:val="single" w:sz="4" w:space="0" w:color="000000"/>
              <w:bottom w:val="single" w:sz="4" w:space="0" w:color="000000"/>
              <w:right w:val="nil"/>
            </w:tcBorders>
          </w:tcPr>
          <w:p w:rsidR="00BB600E" w:rsidRPr="00A8598B" w:rsidRDefault="00B277E4">
            <w:pPr>
              <w:jc w:val="both"/>
              <w:rPr>
                <w:rFonts w:ascii="Arial" w:eastAsia="Arial" w:hAnsi="Arial" w:cs="Arial"/>
                <w:sz w:val="20"/>
                <w:szCs w:val="18"/>
              </w:rPr>
            </w:pPr>
            <w:r w:rsidRPr="00A8598B">
              <w:rPr>
                <w:rFonts w:ascii="Arial" w:eastAsia="Arial" w:hAnsi="Arial" w:cs="Arial"/>
                <w:sz w:val="20"/>
                <w:szCs w:val="18"/>
              </w:rPr>
              <w:t>Teniendo en cuenta que la infracción fue evaluada bajo el riesgo de afectación, no determina la existencia de un daño</w:t>
            </w:r>
          </w:p>
        </w:tc>
        <w:tc>
          <w:tcPr>
            <w:tcW w:w="1440" w:type="dxa"/>
            <w:tcBorders>
              <w:top w:val="single" w:sz="4" w:space="0" w:color="000000"/>
              <w:left w:val="single" w:sz="4" w:space="0" w:color="000000"/>
              <w:bottom w:val="single" w:sz="4" w:space="0" w:color="000000"/>
              <w:right w:val="single" w:sz="4" w:space="0" w:color="000000"/>
            </w:tcBorders>
            <w:vAlign w:val="center"/>
          </w:tcPr>
          <w:p w:rsidR="00BB600E" w:rsidRPr="00A8598B" w:rsidRDefault="00B277E4">
            <w:pPr>
              <w:tabs>
                <w:tab w:val="left" w:pos="-720"/>
                <w:tab w:val="left" w:pos="708"/>
              </w:tabs>
              <w:jc w:val="both"/>
              <w:rPr>
                <w:rFonts w:ascii="Arial" w:eastAsia="Arial" w:hAnsi="Arial" w:cs="Arial"/>
                <w:sz w:val="20"/>
                <w:szCs w:val="18"/>
              </w:rPr>
            </w:pPr>
            <w:r w:rsidRPr="00A8598B">
              <w:rPr>
                <w:rFonts w:ascii="Arial" w:eastAsia="Arial" w:hAnsi="Arial" w:cs="Arial"/>
                <w:sz w:val="20"/>
                <w:szCs w:val="18"/>
              </w:rPr>
              <w:t>Circunstancia valorada en la importancia de la afectación</w:t>
            </w:r>
          </w:p>
        </w:tc>
      </w:tr>
    </w:tbl>
    <w:p w:rsidR="00BB600E" w:rsidRDefault="00BB600E">
      <w:pPr>
        <w:spacing w:line="360" w:lineRule="auto"/>
        <w:jc w:val="both"/>
        <w:rPr>
          <w:rFonts w:ascii="Arial" w:eastAsia="Arial" w:hAnsi="Arial" w:cs="Arial"/>
          <w:b/>
        </w:rPr>
      </w:pPr>
    </w:p>
    <w:p w:rsidR="00BB600E" w:rsidRDefault="00B277E4">
      <w:pPr>
        <w:spacing w:line="360" w:lineRule="auto"/>
        <w:jc w:val="center"/>
        <w:rPr>
          <w:rFonts w:ascii="Arial" w:eastAsia="Arial" w:hAnsi="Arial" w:cs="Arial"/>
          <w:b/>
          <w:color w:val="FF0000"/>
        </w:rPr>
      </w:pPr>
      <w:r>
        <w:rPr>
          <w:rFonts w:ascii="Arial" w:eastAsia="Arial" w:hAnsi="Arial" w:cs="Arial"/>
          <w:b/>
        </w:rPr>
        <w:t>A = 0,2</w:t>
      </w:r>
    </w:p>
    <w:p w:rsidR="00BB600E" w:rsidRDefault="00BB600E">
      <w:pPr>
        <w:spacing w:line="360" w:lineRule="auto"/>
        <w:rPr>
          <w:rFonts w:ascii="Arial" w:eastAsia="Arial" w:hAnsi="Arial" w:cs="Arial"/>
          <w:b/>
          <w:color w:val="2F5496"/>
          <w:sz w:val="22"/>
          <w:szCs w:val="22"/>
        </w:rPr>
      </w:pPr>
    </w:p>
    <w:p w:rsidR="00BB600E" w:rsidRDefault="00B277E4">
      <w:pPr>
        <w:pStyle w:val="Ttulo2"/>
        <w:numPr>
          <w:ilvl w:val="1"/>
          <w:numId w:val="2"/>
        </w:numPr>
        <w:spacing w:before="0" w:after="0" w:line="360" w:lineRule="auto"/>
        <w:rPr>
          <w:rFonts w:eastAsia="Arial" w:cs="Arial"/>
          <w:sz w:val="24"/>
          <w:szCs w:val="24"/>
        </w:rPr>
      </w:pPr>
      <w:r>
        <w:rPr>
          <w:rFonts w:eastAsia="Arial" w:cs="Arial"/>
          <w:sz w:val="24"/>
          <w:szCs w:val="24"/>
        </w:rPr>
        <w:t>COSTOS ASOCIADOS (Ca)</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 xml:space="preserve">La variable costos asociados, corresponde a aquellas erogaciones en las cuales incurre la autoridad ambiental durante el proceso sancionatorio y que son responsabilidad del infractor.  </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Para este caso y teniendo en cuenta que la Autoridad Ambiental no incurrió en costos adicionales a los de seguimiento y control propios de la Entidad, no se configuran costos asociados.</w:t>
      </w:r>
    </w:p>
    <w:p w:rsidR="00BB600E" w:rsidRDefault="00BB600E">
      <w:pPr>
        <w:spacing w:line="360" w:lineRule="auto"/>
        <w:jc w:val="both"/>
        <w:rPr>
          <w:rFonts w:ascii="Arial" w:eastAsia="Arial" w:hAnsi="Arial" w:cs="Arial"/>
        </w:rPr>
      </w:pPr>
    </w:p>
    <w:p w:rsidR="00BB600E" w:rsidRDefault="00B277E4">
      <w:pPr>
        <w:spacing w:line="360" w:lineRule="auto"/>
        <w:jc w:val="center"/>
        <w:rPr>
          <w:rFonts w:ascii="Arial" w:eastAsia="Arial" w:hAnsi="Arial" w:cs="Arial"/>
          <w:b/>
        </w:rPr>
      </w:pPr>
      <w:r>
        <w:rPr>
          <w:rFonts w:ascii="Arial" w:eastAsia="Arial" w:hAnsi="Arial" w:cs="Arial"/>
          <w:b/>
        </w:rPr>
        <w:lastRenderedPageBreak/>
        <w:t>Ca = 0</w:t>
      </w:r>
    </w:p>
    <w:p w:rsidR="00BB600E" w:rsidRDefault="00BB600E">
      <w:pPr>
        <w:spacing w:line="360" w:lineRule="auto"/>
        <w:rPr>
          <w:sz w:val="20"/>
          <w:szCs w:val="20"/>
        </w:rPr>
      </w:pPr>
    </w:p>
    <w:p w:rsidR="00BB600E" w:rsidRDefault="00BB600E">
      <w:pPr>
        <w:spacing w:line="360" w:lineRule="auto"/>
        <w:rPr>
          <w:sz w:val="20"/>
          <w:szCs w:val="20"/>
        </w:rPr>
      </w:pPr>
    </w:p>
    <w:p w:rsidR="00BB600E" w:rsidRDefault="00B277E4">
      <w:pPr>
        <w:pStyle w:val="Ttulo2"/>
        <w:numPr>
          <w:ilvl w:val="1"/>
          <w:numId w:val="2"/>
        </w:numPr>
        <w:spacing w:before="0" w:after="0" w:line="360" w:lineRule="auto"/>
        <w:rPr>
          <w:rFonts w:eastAsia="Arial" w:cs="Arial"/>
          <w:sz w:val="24"/>
          <w:szCs w:val="24"/>
        </w:rPr>
      </w:pPr>
      <w:r>
        <w:rPr>
          <w:rFonts w:eastAsia="Arial" w:cs="Arial"/>
          <w:sz w:val="24"/>
          <w:szCs w:val="24"/>
        </w:rPr>
        <w:t>CAPACIDAD SOCIOECONÓMICA DEL INFRACTOR (CS)</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color w:val="000000"/>
        </w:rPr>
      </w:pPr>
      <w:r>
        <w:rPr>
          <w:rFonts w:ascii="Arial" w:eastAsia="Arial" w:hAnsi="Arial" w:cs="Arial"/>
          <w:color w:val="000000"/>
        </w:rPr>
        <w:t>Para el cálculo de la Capacidad Socioeconómica del presunto infractor, se tendrá en cuenta la diferenciación entre personas naturales, personas jurídicas y entes territoriales, de conformidad con las tablas definidas en la Resolución 2086 de 2010.</w:t>
      </w:r>
    </w:p>
    <w:p w:rsidR="00BB600E" w:rsidRDefault="00BB600E">
      <w:pPr>
        <w:spacing w:line="360" w:lineRule="auto"/>
        <w:rPr>
          <w:rFonts w:ascii="Arial" w:eastAsia="Arial" w:hAnsi="Arial" w:cs="Arial"/>
          <w:color w:val="2F5496"/>
        </w:rPr>
      </w:pPr>
      <w:bookmarkStart w:id="9" w:name="_heading=h.1t3h5sf" w:colFirst="0" w:colLast="0"/>
      <w:bookmarkEnd w:id="9"/>
    </w:p>
    <w:p w:rsidR="00BB600E" w:rsidRDefault="00B277E4">
      <w:pPr>
        <w:spacing w:line="360" w:lineRule="auto"/>
        <w:jc w:val="both"/>
        <w:rPr>
          <w:rFonts w:ascii="Arial" w:eastAsia="Arial" w:hAnsi="Arial" w:cs="Arial"/>
        </w:rPr>
      </w:pPr>
      <w:r>
        <w:rPr>
          <w:rFonts w:ascii="Arial" w:eastAsia="Arial" w:hAnsi="Arial" w:cs="Arial"/>
        </w:rPr>
        <w:t>Para efectos de la clasificación del tamaño empresarial se tendrá como criterio exclusivo los ingresos por actividades ordinarias anuales, según lo establece el Decreto 957 del 5 junio de 2019 en su artículo 2.2.1.13.2.1. El mencionado Decreto en su artículo 2.2.2.1.13.2.3 también menciona lo siguiente:</w:t>
      </w:r>
    </w:p>
    <w:p w:rsidR="00DB7419" w:rsidRDefault="00DB7419">
      <w:pPr>
        <w:spacing w:line="360" w:lineRule="auto"/>
        <w:jc w:val="both"/>
        <w:rPr>
          <w:rFonts w:ascii="Arial" w:eastAsia="Arial" w:hAnsi="Arial" w:cs="Arial"/>
        </w:rPr>
      </w:pPr>
    </w:p>
    <w:p w:rsidR="00BB600E" w:rsidRDefault="00B277E4">
      <w:pPr>
        <w:spacing w:line="360" w:lineRule="auto"/>
        <w:jc w:val="both"/>
        <w:rPr>
          <w:rFonts w:ascii="Arial" w:eastAsia="Arial" w:hAnsi="Arial" w:cs="Arial"/>
          <w:i/>
          <w:color w:val="000000"/>
        </w:rPr>
      </w:pPr>
      <w:r>
        <w:rPr>
          <w:rFonts w:ascii="Arial" w:eastAsia="Arial" w:hAnsi="Arial" w:cs="Arial"/>
          <w:i/>
          <w:color w:val="000000"/>
        </w:rPr>
        <w:t>“(…) Para efectos de la clasificación de que trata el presente Capitulo, se entenderá que el concepto de ventas brutas anuales se asimila al de ingresos por actividades ordinarias”.</w:t>
      </w:r>
    </w:p>
    <w:p w:rsidR="00BB600E" w:rsidRDefault="00B277E4" w:rsidP="00DB7419">
      <w:pPr>
        <w:spacing w:line="360" w:lineRule="auto"/>
        <w:jc w:val="both"/>
        <w:rPr>
          <w:rFonts w:ascii="Arial" w:eastAsia="Arial" w:hAnsi="Arial" w:cs="Arial"/>
        </w:rPr>
      </w:pPr>
      <w:r>
        <w:rPr>
          <w:rFonts w:ascii="Arial" w:eastAsia="Arial" w:hAnsi="Arial" w:cs="Arial"/>
        </w:rPr>
        <w:t>Siendo así, consultado el Registro Único Empresarial y Social de Cámaras de Comercio, se e</w:t>
      </w:r>
      <w:r w:rsidR="00DB7419">
        <w:rPr>
          <w:rFonts w:ascii="Arial" w:eastAsia="Arial" w:hAnsi="Arial" w:cs="Arial"/>
        </w:rPr>
        <w:t xml:space="preserve">ncuentra que la sociedad MENDEBAL S.A.S identificada con NIT No. </w:t>
      </w:r>
      <w:r w:rsidR="00DB7419" w:rsidRPr="00DB7419">
        <w:rPr>
          <w:rFonts w:ascii="Arial" w:eastAsia="Arial" w:hAnsi="Arial" w:cs="Arial"/>
        </w:rPr>
        <w:t>860.353.473-5</w:t>
      </w:r>
      <w:r>
        <w:rPr>
          <w:rFonts w:ascii="Arial" w:eastAsia="Arial" w:hAnsi="Arial" w:cs="Arial"/>
        </w:rPr>
        <w:t>, cuenta con ingresos por a</w:t>
      </w:r>
      <w:r w:rsidR="00DB7419">
        <w:rPr>
          <w:rFonts w:ascii="Arial" w:eastAsia="Arial" w:hAnsi="Arial" w:cs="Arial"/>
        </w:rPr>
        <w:t>ctividad ordinaria de $ 106.989.923.717</w:t>
      </w:r>
      <w:r>
        <w:rPr>
          <w:rFonts w:ascii="Arial" w:eastAsia="Arial" w:hAnsi="Arial" w:cs="Arial"/>
        </w:rPr>
        <w:t xml:space="preserve"> pesos lo que la c</w:t>
      </w:r>
      <w:r w:rsidR="00DB7419">
        <w:rPr>
          <w:rFonts w:ascii="Arial" w:eastAsia="Arial" w:hAnsi="Arial" w:cs="Arial"/>
        </w:rPr>
        <w:t>lasifica como una empresa Grande</w:t>
      </w:r>
      <w:r>
        <w:rPr>
          <w:rFonts w:ascii="Arial" w:eastAsia="Arial" w:hAnsi="Arial" w:cs="Arial"/>
        </w:rPr>
        <w:t xml:space="preserve">. </w:t>
      </w:r>
    </w:p>
    <w:p w:rsidR="00DB7419" w:rsidRDefault="00DB7419" w:rsidP="00DB7419">
      <w:pPr>
        <w:spacing w:after="240" w:line="360" w:lineRule="auto"/>
        <w:jc w:val="both"/>
        <w:rPr>
          <w:rFonts w:ascii="Arial" w:eastAsia="Arial" w:hAnsi="Arial" w:cs="Arial"/>
        </w:rPr>
      </w:pPr>
      <w:r w:rsidRPr="00DB7419">
        <w:rPr>
          <w:rFonts w:ascii="Arial" w:eastAsia="Arial" w:hAnsi="Arial" w:cs="Arial"/>
          <w:noProof/>
          <w:lang w:val="es-CO" w:eastAsia="es-CO"/>
        </w:rPr>
        <w:drawing>
          <wp:inline distT="0" distB="0" distL="0" distR="0" wp14:anchorId="4B22A850" wp14:editId="26F247AE">
            <wp:extent cx="5971540" cy="1747520"/>
            <wp:effectExtent l="0" t="0" r="0" b="508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71540" cy="1747520"/>
                    </a:xfrm>
                    <a:prstGeom prst="rect">
                      <a:avLst/>
                    </a:prstGeom>
                  </pic:spPr>
                </pic:pic>
              </a:graphicData>
            </a:graphic>
          </wp:inline>
        </w:drawing>
      </w:r>
    </w:p>
    <w:p w:rsidR="00DB7419" w:rsidRDefault="00DB7419" w:rsidP="00DB7419">
      <w:pPr>
        <w:spacing w:after="240" w:line="360" w:lineRule="auto"/>
        <w:jc w:val="center"/>
        <w:rPr>
          <w:rFonts w:ascii="Arial" w:eastAsia="Arial" w:hAnsi="Arial" w:cs="Arial"/>
        </w:rPr>
      </w:pPr>
      <w:r>
        <w:rPr>
          <w:rFonts w:ascii="Arial" w:eastAsia="Arial" w:hAnsi="Arial" w:cs="Arial"/>
        </w:rPr>
        <w:lastRenderedPageBreak/>
        <w:t>Fuente: RUES</w:t>
      </w:r>
    </w:p>
    <w:p w:rsidR="00DB7419" w:rsidRDefault="00DB7419" w:rsidP="00DB7419">
      <w:pPr>
        <w:spacing w:line="360" w:lineRule="auto"/>
        <w:jc w:val="center"/>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 xml:space="preserve">En ese sentido, y teniendo en cuenta lo establecido en el artículo 10 numeral 2 de la Resolución 2086 del 2010, la capacidad socioeconómica del presunto infractor corresponde a </w:t>
      </w:r>
      <w:r w:rsidR="00DB7419">
        <w:rPr>
          <w:rFonts w:ascii="Arial" w:eastAsia="Arial" w:hAnsi="Arial" w:cs="Arial"/>
        </w:rPr>
        <w:t>un factor de ponderación de 1</w:t>
      </w:r>
    </w:p>
    <w:p w:rsidR="00DB7419" w:rsidRDefault="00DB7419">
      <w:pPr>
        <w:spacing w:line="360" w:lineRule="auto"/>
        <w:jc w:val="both"/>
        <w:rPr>
          <w:rFonts w:ascii="Arial" w:eastAsia="Arial" w:hAnsi="Arial" w:cs="Arial"/>
        </w:rPr>
      </w:pPr>
    </w:p>
    <w:p w:rsidR="00BB600E" w:rsidRDefault="00DB7419">
      <w:pPr>
        <w:spacing w:line="360" w:lineRule="auto"/>
        <w:jc w:val="center"/>
        <w:rPr>
          <w:rFonts w:ascii="Arial" w:eastAsia="Arial" w:hAnsi="Arial" w:cs="Arial"/>
          <w:b/>
          <w:color w:val="FF0000"/>
        </w:rPr>
      </w:pPr>
      <w:r>
        <w:rPr>
          <w:rFonts w:ascii="Arial" w:eastAsia="Arial" w:hAnsi="Arial" w:cs="Arial"/>
          <w:b/>
          <w:color w:val="000000"/>
        </w:rPr>
        <w:t>Cs = 1</w:t>
      </w:r>
    </w:p>
    <w:p w:rsidR="00BB600E" w:rsidRDefault="00BB600E">
      <w:pPr>
        <w:spacing w:line="360" w:lineRule="auto"/>
        <w:jc w:val="center"/>
        <w:rPr>
          <w:rFonts w:ascii="Arial" w:eastAsia="Arial" w:hAnsi="Arial" w:cs="Arial"/>
        </w:rPr>
      </w:pPr>
    </w:p>
    <w:p w:rsidR="00BB600E" w:rsidRDefault="00B277E4">
      <w:pPr>
        <w:pStyle w:val="Ttulo1"/>
        <w:numPr>
          <w:ilvl w:val="0"/>
          <w:numId w:val="2"/>
        </w:numPr>
        <w:spacing w:before="0" w:after="0" w:line="360" w:lineRule="auto"/>
        <w:ind w:left="357" w:hanging="357"/>
        <w:rPr>
          <w:b/>
          <w:sz w:val="24"/>
          <w:szCs w:val="24"/>
        </w:rPr>
      </w:pPr>
      <w:r>
        <w:rPr>
          <w:b/>
          <w:sz w:val="24"/>
          <w:szCs w:val="24"/>
        </w:rPr>
        <w:t>CALCULO DE LA MULTA</w:t>
      </w:r>
    </w:p>
    <w:p w:rsidR="00BB600E" w:rsidRDefault="00BB600E"/>
    <w:p w:rsidR="00BB600E" w:rsidRDefault="00B277E4">
      <w:pPr>
        <w:spacing w:line="360" w:lineRule="auto"/>
        <w:jc w:val="both"/>
        <w:rPr>
          <w:rFonts w:ascii="Arial" w:eastAsia="Arial" w:hAnsi="Arial" w:cs="Arial"/>
        </w:rPr>
      </w:pPr>
      <w:r>
        <w:rPr>
          <w:rFonts w:ascii="Arial" w:eastAsia="Arial" w:hAnsi="Arial" w:cs="Arial"/>
        </w:rPr>
        <w:t>Dando cumplimiento al artículo 4 de la Resolución MAVDT 2086 de 2010 del Ministerio de Ambiente y Desarrollo Sostenible y habiendo adelantado la metodología para la tasación de multa, se da evaluación a la siguiente modelación matemática:</w:t>
      </w:r>
    </w:p>
    <w:p w:rsidR="00BB600E" w:rsidRDefault="00BB600E">
      <w:pPr>
        <w:spacing w:line="360" w:lineRule="auto"/>
        <w:jc w:val="both"/>
        <w:rPr>
          <w:rFonts w:ascii="Arial" w:eastAsia="Arial" w:hAnsi="Arial" w:cs="Arial"/>
        </w:rPr>
      </w:pPr>
    </w:p>
    <w:p w:rsidR="00BB600E" w:rsidRDefault="00B277E4">
      <w:pPr>
        <w:spacing w:line="360" w:lineRule="auto"/>
        <w:jc w:val="center"/>
        <w:rPr>
          <w:rFonts w:ascii="Arial" w:eastAsia="Arial" w:hAnsi="Arial" w:cs="Arial"/>
          <w:b/>
        </w:rPr>
      </w:pPr>
      <w:r>
        <w:rPr>
          <w:rFonts w:ascii="Arial" w:eastAsia="Arial" w:hAnsi="Arial" w:cs="Arial"/>
          <w:b/>
        </w:rPr>
        <w:t>Multa = B + [(α</w:t>
      </w:r>
      <w:r>
        <w:rPr>
          <w:rFonts w:ascii="Arial" w:eastAsia="Arial" w:hAnsi="Arial" w:cs="Arial"/>
          <w:b/>
        </w:rPr>
        <w:t>*R) * (1+ A) + Ca] ∗Cs</w:t>
      </w:r>
    </w:p>
    <w:p w:rsidR="00BB600E" w:rsidRDefault="00B277E4">
      <w:pPr>
        <w:spacing w:line="360" w:lineRule="auto"/>
        <w:jc w:val="center"/>
        <w:rPr>
          <w:rFonts w:ascii="Arial" w:eastAsia="Arial" w:hAnsi="Arial" w:cs="Arial"/>
          <w:sz w:val="18"/>
          <w:szCs w:val="18"/>
        </w:rPr>
      </w:pPr>
      <w:r>
        <w:rPr>
          <w:rFonts w:ascii="Arial" w:eastAsia="Arial" w:hAnsi="Arial" w:cs="Arial"/>
          <w:sz w:val="18"/>
          <w:szCs w:val="18"/>
        </w:rPr>
        <w:t>Tabla 8. Resumen de las variables cálculo de la multa</w:t>
      </w:r>
    </w:p>
    <w:tbl>
      <w:tblPr>
        <w:tblStyle w:val="a8"/>
        <w:tblW w:w="5191" w:type="dxa"/>
        <w:jc w:val="center"/>
        <w:tblInd w:w="0" w:type="dxa"/>
        <w:tblLayout w:type="fixed"/>
        <w:tblLook w:val="0400" w:firstRow="0" w:lastRow="0" w:firstColumn="0" w:lastColumn="0" w:noHBand="0" w:noVBand="1"/>
      </w:tblPr>
      <w:tblGrid>
        <w:gridCol w:w="3256"/>
        <w:gridCol w:w="1935"/>
      </w:tblGrid>
      <w:tr w:rsidR="00DB7419" w:rsidRPr="00DB7419">
        <w:trPr>
          <w:trHeight w:val="315"/>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BB600E" w:rsidRPr="00DB7419" w:rsidRDefault="00B277E4">
            <w:pPr>
              <w:spacing w:line="360" w:lineRule="auto"/>
              <w:jc w:val="center"/>
              <w:rPr>
                <w:rFonts w:ascii="Arial" w:eastAsia="Arial" w:hAnsi="Arial" w:cs="Arial"/>
                <w:sz w:val="20"/>
                <w:szCs w:val="18"/>
              </w:rPr>
            </w:pPr>
            <w:r w:rsidRPr="00DB7419">
              <w:rPr>
                <w:rFonts w:ascii="Arial" w:eastAsia="Arial" w:hAnsi="Arial" w:cs="Arial"/>
                <w:sz w:val="20"/>
                <w:szCs w:val="18"/>
              </w:rPr>
              <w:t>Beneficio ilícito (B)</w:t>
            </w:r>
          </w:p>
        </w:tc>
        <w:tc>
          <w:tcPr>
            <w:tcW w:w="1935" w:type="dxa"/>
            <w:tcBorders>
              <w:top w:val="single" w:sz="4" w:space="0" w:color="000000"/>
              <w:left w:val="nil"/>
              <w:bottom w:val="single" w:sz="4" w:space="0" w:color="000000"/>
              <w:right w:val="single" w:sz="4" w:space="0" w:color="000000"/>
            </w:tcBorders>
            <w:shd w:val="clear" w:color="auto" w:fill="auto"/>
            <w:vAlign w:val="center"/>
          </w:tcPr>
          <w:p w:rsidR="00BB600E" w:rsidRPr="00DB7419" w:rsidRDefault="00B277E4">
            <w:pPr>
              <w:spacing w:line="360" w:lineRule="auto"/>
              <w:jc w:val="center"/>
              <w:rPr>
                <w:rFonts w:ascii="Arial" w:eastAsia="Arial" w:hAnsi="Arial" w:cs="Arial"/>
                <w:sz w:val="20"/>
                <w:szCs w:val="18"/>
              </w:rPr>
            </w:pPr>
            <w:r w:rsidRPr="00DB7419">
              <w:rPr>
                <w:rFonts w:ascii="Arial" w:eastAsia="Arial" w:hAnsi="Arial" w:cs="Arial"/>
                <w:sz w:val="20"/>
                <w:szCs w:val="18"/>
              </w:rPr>
              <w:t>$ 0</w:t>
            </w:r>
          </w:p>
        </w:tc>
      </w:tr>
      <w:tr w:rsidR="00DB7419" w:rsidRPr="00DB7419">
        <w:trPr>
          <w:trHeight w:val="315"/>
          <w:jc w:val="center"/>
        </w:trPr>
        <w:tc>
          <w:tcPr>
            <w:tcW w:w="3256" w:type="dxa"/>
            <w:tcBorders>
              <w:top w:val="nil"/>
              <w:left w:val="single" w:sz="4" w:space="0" w:color="000000"/>
              <w:bottom w:val="single" w:sz="4" w:space="0" w:color="000000"/>
              <w:right w:val="single" w:sz="4" w:space="0" w:color="000000"/>
            </w:tcBorders>
            <w:shd w:val="clear" w:color="auto" w:fill="F2F2F2"/>
            <w:vAlign w:val="center"/>
          </w:tcPr>
          <w:p w:rsidR="00BB600E" w:rsidRPr="00DB7419" w:rsidRDefault="00B277E4">
            <w:pPr>
              <w:spacing w:line="360" w:lineRule="auto"/>
              <w:jc w:val="center"/>
              <w:rPr>
                <w:rFonts w:ascii="Arial" w:eastAsia="Arial" w:hAnsi="Arial" w:cs="Arial"/>
                <w:sz w:val="20"/>
                <w:szCs w:val="18"/>
              </w:rPr>
            </w:pPr>
            <w:r w:rsidRPr="00DB7419">
              <w:rPr>
                <w:rFonts w:ascii="Arial" w:eastAsia="Arial" w:hAnsi="Arial" w:cs="Arial"/>
                <w:sz w:val="20"/>
                <w:szCs w:val="18"/>
              </w:rPr>
              <w:t>Temporalidad (α)</w:t>
            </w:r>
          </w:p>
        </w:tc>
        <w:tc>
          <w:tcPr>
            <w:tcW w:w="1935" w:type="dxa"/>
            <w:tcBorders>
              <w:top w:val="nil"/>
              <w:left w:val="nil"/>
              <w:bottom w:val="single" w:sz="4" w:space="0" w:color="000000"/>
              <w:right w:val="single" w:sz="4" w:space="0" w:color="000000"/>
            </w:tcBorders>
            <w:shd w:val="clear" w:color="auto" w:fill="auto"/>
            <w:vAlign w:val="center"/>
          </w:tcPr>
          <w:p w:rsidR="00BB600E" w:rsidRPr="00DB7419" w:rsidRDefault="00B277E4">
            <w:pPr>
              <w:spacing w:line="360" w:lineRule="auto"/>
              <w:jc w:val="center"/>
              <w:rPr>
                <w:rFonts w:ascii="Arial" w:eastAsia="Arial" w:hAnsi="Arial" w:cs="Arial"/>
                <w:sz w:val="20"/>
                <w:szCs w:val="18"/>
              </w:rPr>
            </w:pPr>
            <w:r w:rsidRPr="00DB7419">
              <w:rPr>
                <w:rFonts w:ascii="Arial" w:eastAsia="Arial" w:hAnsi="Arial" w:cs="Arial"/>
                <w:sz w:val="20"/>
                <w:szCs w:val="18"/>
              </w:rPr>
              <w:t>1</w:t>
            </w:r>
          </w:p>
        </w:tc>
      </w:tr>
      <w:tr w:rsidR="00DB7419" w:rsidRPr="00DB7419">
        <w:trPr>
          <w:trHeight w:val="315"/>
          <w:jc w:val="center"/>
        </w:trPr>
        <w:tc>
          <w:tcPr>
            <w:tcW w:w="3256" w:type="dxa"/>
            <w:tcBorders>
              <w:top w:val="nil"/>
              <w:left w:val="single" w:sz="4" w:space="0" w:color="000000"/>
              <w:bottom w:val="single" w:sz="4" w:space="0" w:color="000000"/>
              <w:right w:val="single" w:sz="4" w:space="0" w:color="000000"/>
            </w:tcBorders>
            <w:shd w:val="clear" w:color="auto" w:fill="F2F2F2"/>
            <w:vAlign w:val="center"/>
          </w:tcPr>
          <w:p w:rsidR="00BB600E" w:rsidRPr="00DB7419" w:rsidRDefault="00B277E4">
            <w:pPr>
              <w:spacing w:line="360" w:lineRule="auto"/>
              <w:jc w:val="center"/>
              <w:rPr>
                <w:rFonts w:ascii="Arial" w:eastAsia="Arial" w:hAnsi="Arial" w:cs="Arial"/>
                <w:sz w:val="20"/>
                <w:szCs w:val="18"/>
              </w:rPr>
            </w:pPr>
            <w:r w:rsidRPr="00DB7419">
              <w:rPr>
                <w:rFonts w:ascii="Arial" w:eastAsia="Arial" w:hAnsi="Arial" w:cs="Arial"/>
                <w:sz w:val="20"/>
                <w:szCs w:val="18"/>
              </w:rPr>
              <w:t>Grado de afectación ambiental y/o riesgo (R)</w:t>
            </w:r>
          </w:p>
        </w:tc>
        <w:tc>
          <w:tcPr>
            <w:tcW w:w="1935" w:type="dxa"/>
            <w:tcBorders>
              <w:top w:val="nil"/>
              <w:left w:val="nil"/>
              <w:bottom w:val="single" w:sz="4" w:space="0" w:color="000000"/>
              <w:right w:val="single" w:sz="4" w:space="0" w:color="000000"/>
            </w:tcBorders>
            <w:shd w:val="clear" w:color="auto" w:fill="auto"/>
            <w:vAlign w:val="center"/>
          </w:tcPr>
          <w:p w:rsidR="00BB600E" w:rsidRPr="00DB7419" w:rsidRDefault="00B277E4" w:rsidP="00DB7419">
            <w:pPr>
              <w:spacing w:line="360" w:lineRule="auto"/>
              <w:jc w:val="center"/>
              <w:rPr>
                <w:rFonts w:ascii="Arial" w:eastAsia="Arial" w:hAnsi="Arial" w:cs="Arial"/>
                <w:sz w:val="20"/>
                <w:szCs w:val="18"/>
              </w:rPr>
            </w:pPr>
            <w:r w:rsidRPr="00DB7419">
              <w:rPr>
                <w:rFonts w:ascii="Arial" w:eastAsia="Arial" w:hAnsi="Arial" w:cs="Arial"/>
                <w:sz w:val="20"/>
                <w:szCs w:val="18"/>
              </w:rPr>
              <w:t>$</w:t>
            </w:r>
            <w:r w:rsidR="00DB7419">
              <w:rPr>
                <w:rFonts w:ascii="Arial" w:eastAsia="Arial" w:hAnsi="Arial" w:cs="Arial"/>
                <w:sz w:val="20"/>
                <w:szCs w:val="18"/>
              </w:rPr>
              <w:t xml:space="preserve"> 43.017.000</w:t>
            </w:r>
          </w:p>
        </w:tc>
      </w:tr>
      <w:tr w:rsidR="00DB7419" w:rsidRPr="00DB7419">
        <w:trPr>
          <w:trHeight w:val="315"/>
          <w:jc w:val="center"/>
        </w:trPr>
        <w:tc>
          <w:tcPr>
            <w:tcW w:w="3256" w:type="dxa"/>
            <w:tcBorders>
              <w:top w:val="nil"/>
              <w:left w:val="single" w:sz="4" w:space="0" w:color="000000"/>
              <w:bottom w:val="single" w:sz="4" w:space="0" w:color="000000"/>
              <w:right w:val="single" w:sz="4" w:space="0" w:color="000000"/>
            </w:tcBorders>
            <w:shd w:val="clear" w:color="auto" w:fill="F2F2F2"/>
            <w:vAlign w:val="center"/>
          </w:tcPr>
          <w:p w:rsidR="00BB600E" w:rsidRPr="00DB7419" w:rsidRDefault="00B277E4">
            <w:pPr>
              <w:spacing w:line="360" w:lineRule="auto"/>
              <w:jc w:val="center"/>
              <w:rPr>
                <w:rFonts w:ascii="Arial" w:eastAsia="Arial" w:hAnsi="Arial" w:cs="Arial"/>
                <w:sz w:val="20"/>
                <w:szCs w:val="18"/>
              </w:rPr>
            </w:pPr>
            <w:r w:rsidRPr="00DB7419">
              <w:rPr>
                <w:rFonts w:ascii="Arial" w:eastAsia="Arial" w:hAnsi="Arial" w:cs="Arial"/>
                <w:sz w:val="20"/>
                <w:szCs w:val="18"/>
              </w:rPr>
              <w:t>Circunstancias Agravantes y Atenuantes (A)</w:t>
            </w:r>
          </w:p>
        </w:tc>
        <w:tc>
          <w:tcPr>
            <w:tcW w:w="1935" w:type="dxa"/>
            <w:tcBorders>
              <w:top w:val="nil"/>
              <w:left w:val="nil"/>
              <w:bottom w:val="single" w:sz="4" w:space="0" w:color="000000"/>
              <w:right w:val="single" w:sz="4" w:space="0" w:color="000000"/>
            </w:tcBorders>
            <w:shd w:val="clear" w:color="auto" w:fill="auto"/>
            <w:vAlign w:val="center"/>
          </w:tcPr>
          <w:p w:rsidR="00BB600E" w:rsidRPr="00DB7419" w:rsidRDefault="00DB7419">
            <w:pPr>
              <w:spacing w:line="360" w:lineRule="auto"/>
              <w:jc w:val="center"/>
              <w:rPr>
                <w:rFonts w:ascii="Arial" w:eastAsia="Arial" w:hAnsi="Arial" w:cs="Arial"/>
                <w:sz w:val="20"/>
                <w:szCs w:val="18"/>
              </w:rPr>
            </w:pPr>
            <w:r>
              <w:rPr>
                <w:rFonts w:ascii="Arial" w:eastAsia="Arial" w:hAnsi="Arial" w:cs="Arial"/>
                <w:sz w:val="20"/>
                <w:szCs w:val="18"/>
              </w:rPr>
              <w:t>0,2</w:t>
            </w:r>
          </w:p>
        </w:tc>
      </w:tr>
      <w:tr w:rsidR="00DB7419" w:rsidRPr="00DB7419">
        <w:trPr>
          <w:trHeight w:val="315"/>
          <w:jc w:val="center"/>
        </w:trPr>
        <w:tc>
          <w:tcPr>
            <w:tcW w:w="3256" w:type="dxa"/>
            <w:tcBorders>
              <w:top w:val="nil"/>
              <w:left w:val="single" w:sz="4" w:space="0" w:color="000000"/>
              <w:bottom w:val="single" w:sz="4" w:space="0" w:color="000000"/>
              <w:right w:val="single" w:sz="4" w:space="0" w:color="000000"/>
            </w:tcBorders>
            <w:shd w:val="clear" w:color="auto" w:fill="F2F2F2"/>
            <w:vAlign w:val="center"/>
          </w:tcPr>
          <w:p w:rsidR="00BB600E" w:rsidRPr="00DB7419" w:rsidRDefault="00B277E4">
            <w:pPr>
              <w:spacing w:line="360" w:lineRule="auto"/>
              <w:jc w:val="center"/>
              <w:rPr>
                <w:rFonts w:ascii="Arial" w:eastAsia="Arial" w:hAnsi="Arial" w:cs="Arial"/>
                <w:sz w:val="20"/>
                <w:szCs w:val="18"/>
              </w:rPr>
            </w:pPr>
            <w:r w:rsidRPr="00DB7419">
              <w:rPr>
                <w:rFonts w:ascii="Arial" w:eastAsia="Arial" w:hAnsi="Arial" w:cs="Arial"/>
                <w:sz w:val="20"/>
                <w:szCs w:val="18"/>
              </w:rPr>
              <w:t>Costos Asociados (Ca)</w:t>
            </w:r>
          </w:p>
        </w:tc>
        <w:tc>
          <w:tcPr>
            <w:tcW w:w="1935" w:type="dxa"/>
            <w:tcBorders>
              <w:top w:val="nil"/>
              <w:left w:val="nil"/>
              <w:bottom w:val="single" w:sz="4" w:space="0" w:color="000000"/>
              <w:right w:val="single" w:sz="4" w:space="0" w:color="000000"/>
            </w:tcBorders>
            <w:shd w:val="clear" w:color="auto" w:fill="auto"/>
            <w:vAlign w:val="center"/>
          </w:tcPr>
          <w:p w:rsidR="00BB600E" w:rsidRPr="00DB7419" w:rsidRDefault="00B277E4">
            <w:pPr>
              <w:spacing w:line="360" w:lineRule="auto"/>
              <w:jc w:val="center"/>
              <w:rPr>
                <w:rFonts w:ascii="Arial" w:eastAsia="Arial" w:hAnsi="Arial" w:cs="Arial"/>
                <w:sz w:val="20"/>
                <w:szCs w:val="18"/>
              </w:rPr>
            </w:pPr>
            <w:r w:rsidRPr="00DB7419">
              <w:rPr>
                <w:rFonts w:ascii="Arial" w:eastAsia="Arial" w:hAnsi="Arial" w:cs="Arial"/>
                <w:sz w:val="20"/>
                <w:szCs w:val="18"/>
              </w:rPr>
              <w:t>$ 0</w:t>
            </w:r>
          </w:p>
        </w:tc>
      </w:tr>
      <w:tr w:rsidR="00DB7419" w:rsidRPr="00DB7419">
        <w:trPr>
          <w:trHeight w:val="315"/>
          <w:jc w:val="center"/>
        </w:trPr>
        <w:tc>
          <w:tcPr>
            <w:tcW w:w="3256" w:type="dxa"/>
            <w:tcBorders>
              <w:top w:val="nil"/>
              <w:left w:val="single" w:sz="4" w:space="0" w:color="000000"/>
              <w:bottom w:val="single" w:sz="4" w:space="0" w:color="000000"/>
              <w:right w:val="single" w:sz="4" w:space="0" w:color="000000"/>
            </w:tcBorders>
            <w:shd w:val="clear" w:color="auto" w:fill="F2F2F2"/>
            <w:vAlign w:val="center"/>
          </w:tcPr>
          <w:p w:rsidR="00BB600E" w:rsidRPr="00DB7419" w:rsidRDefault="00B277E4">
            <w:pPr>
              <w:spacing w:line="360" w:lineRule="auto"/>
              <w:jc w:val="center"/>
              <w:rPr>
                <w:rFonts w:ascii="Arial" w:eastAsia="Arial" w:hAnsi="Arial" w:cs="Arial"/>
                <w:sz w:val="20"/>
                <w:szCs w:val="18"/>
              </w:rPr>
            </w:pPr>
            <w:r w:rsidRPr="00DB7419">
              <w:rPr>
                <w:rFonts w:ascii="Arial" w:eastAsia="Arial" w:hAnsi="Arial" w:cs="Arial"/>
                <w:sz w:val="20"/>
                <w:szCs w:val="18"/>
              </w:rPr>
              <w:t>Capacidad Socioeconómica (Cs)</w:t>
            </w:r>
          </w:p>
        </w:tc>
        <w:tc>
          <w:tcPr>
            <w:tcW w:w="1935" w:type="dxa"/>
            <w:tcBorders>
              <w:top w:val="nil"/>
              <w:left w:val="nil"/>
              <w:bottom w:val="single" w:sz="4" w:space="0" w:color="000000"/>
              <w:right w:val="single" w:sz="4" w:space="0" w:color="000000"/>
            </w:tcBorders>
            <w:shd w:val="clear" w:color="auto" w:fill="auto"/>
            <w:vAlign w:val="center"/>
          </w:tcPr>
          <w:p w:rsidR="00BB600E" w:rsidRPr="00DB7419" w:rsidRDefault="00DB7419">
            <w:pPr>
              <w:spacing w:line="360" w:lineRule="auto"/>
              <w:jc w:val="center"/>
              <w:rPr>
                <w:rFonts w:ascii="Arial" w:eastAsia="Arial" w:hAnsi="Arial" w:cs="Arial"/>
                <w:sz w:val="20"/>
                <w:szCs w:val="18"/>
              </w:rPr>
            </w:pPr>
            <w:r>
              <w:rPr>
                <w:rFonts w:ascii="Arial" w:eastAsia="Arial" w:hAnsi="Arial" w:cs="Arial"/>
                <w:sz w:val="20"/>
                <w:szCs w:val="18"/>
              </w:rPr>
              <w:t>1</w:t>
            </w:r>
          </w:p>
        </w:tc>
      </w:tr>
    </w:tbl>
    <w:p w:rsidR="00BB600E" w:rsidRDefault="00BB600E">
      <w:pPr>
        <w:spacing w:line="360" w:lineRule="auto"/>
        <w:jc w:val="both"/>
        <w:rPr>
          <w:rFonts w:ascii="Arial" w:eastAsia="Arial" w:hAnsi="Arial" w:cs="Arial"/>
          <w:color w:val="BF8F00"/>
        </w:rPr>
      </w:pPr>
    </w:p>
    <w:p w:rsidR="00BB600E" w:rsidRDefault="00DB7419">
      <w:pPr>
        <w:spacing w:line="360" w:lineRule="auto"/>
        <w:jc w:val="both"/>
        <w:rPr>
          <w:rFonts w:ascii="Arial" w:eastAsia="Arial" w:hAnsi="Arial" w:cs="Arial"/>
          <w:color w:val="000000"/>
        </w:rPr>
      </w:pPr>
      <w:r>
        <w:rPr>
          <w:rFonts w:ascii="Arial" w:eastAsia="Arial" w:hAnsi="Arial" w:cs="Arial"/>
          <w:b/>
          <w:color w:val="000000"/>
        </w:rPr>
        <w:t>Multa = $0 + [(1 * $ 43.017.000) × (1+0,2) + 0] *1</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b/>
          <w:color w:val="000000"/>
        </w:rPr>
      </w:pPr>
      <w:r>
        <w:rPr>
          <w:rFonts w:ascii="Arial" w:eastAsia="Arial" w:hAnsi="Arial" w:cs="Arial"/>
          <w:b/>
          <w:color w:val="000000"/>
        </w:rPr>
        <w:lastRenderedPageBreak/>
        <w:t xml:space="preserve">Multa = </w:t>
      </w:r>
      <w:r w:rsidR="00DB7419" w:rsidRPr="00DB7419">
        <w:rPr>
          <w:rFonts w:ascii="Arial" w:eastAsia="Arial" w:hAnsi="Arial" w:cs="Arial"/>
          <w:b/>
          <w:color w:val="000000"/>
        </w:rPr>
        <w:t xml:space="preserve">CINCUENTA Y UN MILLONES SEISCIENTOS VEINTE MIL CUATROCIENTOS </w:t>
      </w:r>
      <w:r w:rsidR="00DB7419">
        <w:rPr>
          <w:rFonts w:ascii="Arial" w:eastAsia="Arial" w:hAnsi="Arial" w:cs="Arial"/>
          <w:b/>
          <w:color w:val="000000"/>
        </w:rPr>
        <w:t xml:space="preserve"> </w:t>
      </w:r>
      <w:r>
        <w:rPr>
          <w:rFonts w:ascii="Arial" w:eastAsia="Arial" w:hAnsi="Arial" w:cs="Arial"/>
          <w:b/>
          <w:color w:val="000000"/>
        </w:rPr>
        <w:t>P</w:t>
      </w:r>
      <w:r w:rsidR="00DB7419">
        <w:rPr>
          <w:rFonts w:ascii="Arial" w:eastAsia="Arial" w:hAnsi="Arial" w:cs="Arial"/>
          <w:b/>
          <w:color w:val="000000"/>
        </w:rPr>
        <w:t>ESOS MONEDA CORRIENTE (</w:t>
      </w:r>
      <w:r w:rsidR="00DB7419" w:rsidRPr="00DB7419">
        <w:rPr>
          <w:rFonts w:ascii="Arial" w:eastAsia="Arial" w:hAnsi="Arial" w:cs="Arial"/>
          <w:b/>
          <w:color w:val="000000"/>
        </w:rPr>
        <w:t>$ 51.620.400</w:t>
      </w:r>
      <w:r>
        <w:rPr>
          <w:rFonts w:ascii="Arial" w:eastAsia="Arial" w:hAnsi="Arial" w:cs="Arial"/>
          <w:b/>
          <w:color w:val="000000"/>
        </w:rPr>
        <w:t>).</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En concordancia con el artículo 313 de la Ley 2294 de 2023, que establece:</w:t>
      </w:r>
    </w:p>
    <w:p w:rsidR="00DB7419" w:rsidRDefault="00DB7419">
      <w:pPr>
        <w:spacing w:line="360" w:lineRule="auto"/>
        <w:jc w:val="both"/>
        <w:rPr>
          <w:rFonts w:ascii="Arial" w:eastAsia="Arial" w:hAnsi="Arial" w:cs="Arial"/>
        </w:rPr>
      </w:pPr>
    </w:p>
    <w:p w:rsidR="00BB600E" w:rsidRDefault="00B277E4">
      <w:pPr>
        <w:spacing w:line="360" w:lineRule="auto"/>
        <w:jc w:val="both"/>
        <w:rPr>
          <w:rFonts w:ascii="Arial" w:eastAsia="Arial" w:hAnsi="Arial" w:cs="Arial"/>
          <w:i/>
          <w:color w:val="000000"/>
        </w:rPr>
      </w:pPr>
      <w:r>
        <w:rPr>
          <w:rFonts w:ascii="Arial" w:eastAsia="Arial" w:hAnsi="Arial" w:cs="Arial"/>
          <w:i/>
          <w:color w:val="000000"/>
        </w:rPr>
        <w:t xml:space="preserve">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 </w:t>
      </w:r>
    </w:p>
    <w:p w:rsidR="00BB600E" w:rsidRDefault="00B277E4">
      <w:pPr>
        <w:spacing w:line="360" w:lineRule="auto"/>
        <w:jc w:val="both"/>
        <w:rPr>
          <w:rFonts w:ascii="Arial" w:eastAsia="Arial" w:hAnsi="Arial" w:cs="Arial"/>
          <w:i/>
          <w:color w:val="000000"/>
        </w:rPr>
      </w:pPr>
      <w:r>
        <w:rPr>
          <w:rFonts w:ascii="Arial" w:eastAsia="Arial" w:hAnsi="Arial" w:cs="Arial"/>
          <w:i/>
          <w:color w:val="000000"/>
        </w:rPr>
        <w:t>El Ministerio de Hacienda y Crédito Público publicará mediante Resolución antes del primero (1) de enero de cada año, el valor de la Unidad de Valor Básico -UVB- aplicable para el año siguiente.</w:t>
      </w:r>
    </w:p>
    <w:p w:rsidR="00DB7419" w:rsidRDefault="00DB7419">
      <w:pPr>
        <w:spacing w:line="360" w:lineRule="auto"/>
        <w:jc w:val="both"/>
        <w:rPr>
          <w:rFonts w:ascii="Arial" w:eastAsia="Arial" w:hAnsi="Arial" w:cs="Arial"/>
          <w:i/>
          <w:color w:val="000000"/>
        </w:rPr>
      </w:pPr>
    </w:p>
    <w:p w:rsidR="00BB600E" w:rsidRDefault="00B277E4">
      <w:pPr>
        <w:spacing w:line="360" w:lineRule="auto"/>
        <w:jc w:val="both"/>
        <w:rPr>
          <w:rFonts w:ascii="Arial" w:eastAsia="Arial" w:hAnsi="Arial" w:cs="Arial"/>
          <w:i/>
          <w:color w:val="000000"/>
        </w:rPr>
      </w:pPr>
      <w:r>
        <w:rPr>
          <w:rFonts w:ascii="Arial" w:eastAsia="Arial" w:hAnsi="Arial" w:cs="Arial"/>
          <w:i/>
          <w:color w:val="000000"/>
        </w:rPr>
        <w:t>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p>
    <w:p w:rsidR="00BB600E" w:rsidRDefault="00B277E4">
      <w:pPr>
        <w:spacing w:line="360" w:lineRule="auto"/>
        <w:jc w:val="both"/>
        <w:rPr>
          <w:rFonts w:ascii="Arial" w:eastAsia="Arial" w:hAnsi="Arial" w:cs="Arial"/>
        </w:rPr>
      </w:pPr>
      <w:r>
        <w:rPr>
          <w:rFonts w:ascii="Arial" w:eastAsia="Arial" w:hAnsi="Arial" w:cs="Arial"/>
        </w:rPr>
        <w:lastRenderedPageBreak/>
        <w:t>Valor UVB 2024: $10.951 (Artículo 1 de la Resolución 3268 del 18 de diciembre del 2023)</w:t>
      </w:r>
    </w:p>
    <w:p w:rsidR="00BB600E" w:rsidRDefault="005C191F">
      <w:pPr>
        <w:jc w:val="center"/>
        <w:rPr>
          <w:rFonts w:ascii="Cambria Math" w:eastAsia="Cambria Math" w:hAnsi="Cambria Math" w:cs="Cambria Math"/>
        </w:rPr>
      </w:pPr>
      <m:oMathPara>
        <m:oMath>
          <m:sSub>
            <m:sSubPr>
              <m:ctrlPr>
                <w:rPr>
                  <w:rFonts w:ascii="Cambria Math" w:eastAsia="Cambria Math" w:hAnsi="Cambria Math" w:cs="Cambria Math"/>
                </w:rPr>
              </m:ctrlPr>
            </m:sSubPr>
            <m:e>
              <m:r>
                <w:rPr>
                  <w:rFonts w:ascii="Cambria Math" w:eastAsia="Cambria Math" w:hAnsi="Cambria Math" w:cs="Cambria Math"/>
                </w:rPr>
                <m:t>Multa</m:t>
              </m:r>
            </m:e>
            <m:sub>
              <m:r>
                <w:rPr>
                  <w:rFonts w:ascii="Cambria Math" w:eastAsia="Cambria Math" w:hAnsi="Cambria Math" w:cs="Cambria Math"/>
                </w:rPr>
                <m:t>UVB</m:t>
              </m:r>
            </m:sub>
          </m:sSub>
          <m:r>
            <w:rPr>
              <w:rFonts w:ascii="Cambria Math" w:eastAsia="Cambria Math" w:hAnsi="Cambria Math" w:cs="Cambria Math"/>
            </w:rPr>
            <m:t xml:space="preserve">=Multa* </m:t>
          </m:r>
          <m:f>
            <m:fPr>
              <m:ctrlPr>
                <w:rPr>
                  <w:rFonts w:ascii="Cambria Math" w:eastAsia="Cambria Math" w:hAnsi="Cambria Math" w:cs="Cambria Math"/>
                </w:rPr>
              </m:ctrlPr>
            </m:fPr>
            <m:num>
              <m:r>
                <w:rPr>
                  <w:rFonts w:ascii="Cambria Math" w:eastAsia="Cambria Math" w:hAnsi="Cambria Math" w:cs="Cambria Math"/>
                </w:rPr>
                <m:t>1 UVB</m:t>
              </m:r>
            </m:num>
            <m:den>
              <m:r>
                <w:rPr>
                  <w:rFonts w:ascii="Cambria Math" w:eastAsia="Cambria Math" w:hAnsi="Cambria Math" w:cs="Cambria Math"/>
                </w:rPr>
                <m:t>$ 10.951</m:t>
              </m:r>
            </m:den>
          </m:f>
        </m:oMath>
      </m:oMathPara>
    </w:p>
    <w:p w:rsidR="00BB600E" w:rsidRDefault="005C191F">
      <w:pPr>
        <w:jc w:val="center"/>
        <w:rPr>
          <w:rFonts w:ascii="Cambria Math" w:eastAsia="Cambria Math" w:hAnsi="Cambria Math" w:cs="Cambria Math"/>
          <w:color w:val="000000"/>
        </w:rPr>
      </w:pPr>
      <m:oMathPara>
        <m:oMath>
          <m:sSub>
            <m:sSubPr>
              <m:ctrlPr>
                <w:rPr>
                  <w:rFonts w:ascii="Cambria Math" w:eastAsia="Cambria Math" w:hAnsi="Cambria Math" w:cs="Cambria Math"/>
                  <w:color w:val="000000"/>
                </w:rPr>
              </m:ctrlPr>
            </m:sSubPr>
            <m:e>
              <m:r>
                <w:rPr>
                  <w:rFonts w:ascii="Cambria Math" w:eastAsia="Cambria Math" w:hAnsi="Cambria Math" w:cs="Cambria Math"/>
                  <w:color w:val="000000"/>
                </w:rPr>
                <m:t>Multa</m:t>
              </m:r>
            </m:e>
            <m:sub>
              <m:r>
                <w:rPr>
                  <w:rFonts w:ascii="Cambria Math" w:eastAsia="Cambria Math" w:hAnsi="Cambria Math" w:cs="Cambria Math"/>
                  <w:color w:val="000000"/>
                </w:rPr>
                <m:t>UVB</m:t>
              </m:r>
            </m:sub>
          </m:sSub>
          <m:r>
            <w:rPr>
              <w:rFonts w:ascii="Cambria Math" w:eastAsia="Cambria Math" w:hAnsi="Cambria Math" w:cs="Cambria Math"/>
              <w:color w:val="000000"/>
            </w:rPr>
            <m:t xml:space="preserve">= </m:t>
          </m:r>
          <m:r>
            <w:rPr>
              <w:rFonts w:ascii="Cambria Math" w:eastAsia="Cambria Math" w:hAnsi="Cambria Math" w:cs="Cambria Math"/>
            </w:rPr>
            <m:t>$ 51.620.400</m:t>
          </m:r>
          <m:r>
            <w:rPr>
              <w:rFonts w:ascii="Cambria Math" w:eastAsia="Cambria Math" w:hAnsi="Cambria Math" w:cs="Cambria Math"/>
              <w:color w:val="000000"/>
            </w:rPr>
            <m:t xml:space="preserve">* </m:t>
          </m:r>
          <m:f>
            <m:fPr>
              <m:ctrlPr>
                <w:rPr>
                  <w:rFonts w:ascii="Cambria Math" w:eastAsia="Cambria Math" w:hAnsi="Cambria Math" w:cs="Cambria Math"/>
                  <w:color w:val="000000"/>
                </w:rPr>
              </m:ctrlPr>
            </m:fPr>
            <m:num>
              <m:r>
                <w:rPr>
                  <w:rFonts w:ascii="Cambria Math" w:eastAsia="Cambria Math" w:hAnsi="Cambria Math" w:cs="Cambria Math"/>
                  <w:color w:val="000000"/>
                </w:rPr>
                <m:t>1 UVB</m:t>
              </m:r>
            </m:num>
            <m:den>
              <m:r>
                <w:rPr>
                  <w:rFonts w:ascii="Cambria Math" w:eastAsia="Cambria Math" w:hAnsi="Cambria Math" w:cs="Cambria Math"/>
                  <w:color w:val="000000"/>
                </w:rPr>
                <m:t>$10.951</m:t>
              </m:r>
            </m:den>
          </m:f>
        </m:oMath>
      </m:oMathPara>
    </w:p>
    <w:p w:rsidR="00BB600E" w:rsidRDefault="00B277E4">
      <w:pPr>
        <w:spacing w:line="360" w:lineRule="auto"/>
        <w:jc w:val="center"/>
        <w:rPr>
          <w:rFonts w:ascii="Arial" w:eastAsia="Arial" w:hAnsi="Arial" w:cs="Arial"/>
          <w:color w:val="000000"/>
        </w:rPr>
      </w:pPr>
      <w:r>
        <w:rPr>
          <w:rFonts w:ascii="Arial" w:eastAsia="Arial" w:hAnsi="Arial" w:cs="Arial"/>
          <w:b/>
          <w:color w:val="000000"/>
        </w:rPr>
        <w:t xml:space="preserve">Multa UVB = </w:t>
      </w:r>
      <w:r w:rsidR="00DB7419" w:rsidRPr="00DB7419">
        <w:rPr>
          <w:rFonts w:ascii="Arial" w:eastAsia="Arial" w:hAnsi="Arial" w:cs="Arial"/>
          <w:b/>
          <w:color w:val="000000"/>
        </w:rPr>
        <w:t>4.713,76</w:t>
      </w:r>
      <w:r w:rsidR="00DB7419">
        <w:rPr>
          <w:rFonts w:ascii="Arial" w:eastAsia="Arial" w:hAnsi="Arial" w:cs="Arial"/>
          <w:b/>
          <w:color w:val="000000"/>
        </w:rPr>
        <w:t xml:space="preserve"> </w:t>
      </w:r>
      <w:r>
        <w:rPr>
          <w:rFonts w:ascii="Arial" w:eastAsia="Arial" w:hAnsi="Arial" w:cs="Arial"/>
          <w:b/>
          <w:color w:val="000000"/>
        </w:rPr>
        <w:t>UVB</w:t>
      </w:r>
    </w:p>
    <w:p w:rsidR="00BB600E" w:rsidRDefault="00BB600E">
      <w:pPr>
        <w:spacing w:line="360" w:lineRule="auto"/>
        <w:jc w:val="center"/>
        <w:rPr>
          <w:rFonts w:ascii="Arial" w:eastAsia="Arial" w:hAnsi="Arial" w:cs="Arial"/>
        </w:rPr>
      </w:pPr>
    </w:p>
    <w:p w:rsidR="00BB600E" w:rsidRDefault="00B277E4">
      <w:pPr>
        <w:pStyle w:val="Ttulo1"/>
        <w:numPr>
          <w:ilvl w:val="0"/>
          <w:numId w:val="2"/>
        </w:numPr>
        <w:spacing w:before="0" w:after="0" w:line="360" w:lineRule="auto"/>
        <w:ind w:left="357" w:hanging="357"/>
        <w:rPr>
          <w:b/>
          <w:sz w:val="24"/>
          <w:szCs w:val="24"/>
        </w:rPr>
      </w:pPr>
      <w:r>
        <w:rPr>
          <w:b/>
          <w:sz w:val="24"/>
          <w:szCs w:val="24"/>
        </w:rPr>
        <w:t>RECOMENDACIONES</w:t>
      </w:r>
    </w:p>
    <w:p w:rsidR="002572EC" w:rsidRDefault="002572EC" w:rsidP="002572EC">
      <w:pPr>
        <w:pBdr>
          <w:top w:val="nil"/>
          <w:left w:val="nil"/>
          <w:bottom w:val="nil"/>
          <w:right w:val="nil"/>
          <w:between w:val="nil"/>
        </w:pBdr>
        <w:spacing w:line="360" w:lineRule="auto"/>
        <w:jc w:val="both"/>
        <w:rPr>
          <w:rFonts w:ascii="Arial" w:eastAsia="Arial" w:hAnsi="Arial" w:cs="Arial"/>
        </w:rPr>
      </w:pPr>
    </w:p>
    <w:p w:rsidR="00BB600E" w:rsidRPr="002572EC" w:rsidRDefault="00B277E4" w:rsidP="002572EC">
      <w:pPr>
        <w:pBdr>
          <w:top w:val="nil"/>
          <w:left w:val="nil"/>
          <w:bottom w:val="nil"/>
          <w:right w:val="nil"/>
          <w:between w:val="nil"/>
        </w:pBdr>
        <w:spacing w:line="360" w:lineRule="auto"/>
        <w:jc w:val="both"/>
        <w:rPr>
          <w:rFonts w:ascii="Arial" w:eastAsia="Arial" w:hAnsi="Arial" w:cs="Arial"/>
          <w:color w:val="000000"/>
        </w:rPr>
      </w:pPr>
      <w:r w:rsidRPr="002572EC">
        <w:rPr>
          <w:rFonts w:ascii="Arial" w:eastAsia="Arial" w:hAnsi="Arial" w:cs="Arial"/>
          <w:color w:val="000000"/>
        </w:rPr>
        <w:t xml:space="preserve">Imponer a la sociedad INVERSIONES MENDEBAL S A, identificada con NIT 860353473–5, una sanción pecuniaria por un valor de </w:t>
      </w:r>
      <w:r w:rsidR="00DB7419" w:rsidRPr="002572EC">
        <w:rPr>
          <w:rFonts w:ascii="Arial" w:eastAsia="Arial" w:hAnsi="Arial" w:cs="Arial"/>
          <w:b/>
          <w:color w:val="000000"/>
        </w:rPr>
        <w:t xml:space="preserve">CINCUENTA Y UN MILLONES SEISCIENTOS VEINTE MIL CUATROCIENTOS  PESOS MONEDA CORRIENTE ($ 51.620.400) </w:t>
      </w:r>
      <w:r w:rsidR="00DB7419" w:rsidRPr="002572EC">
        <w:rPr>
          <w:rFonts w:ascii="Arial" w:eastAsia="Arial" w:hAnsi="Arial" w:cs="Arial"/>
          <w:color w:val="000000"/>
        </w:rPr>
        <w:t>equivalentes a</w:t>
      </w:r>
      <w:r w:rsidR="00DB7419" w:rsidRPr="002572EC">
        <w:rPr>
          <w:rFonts w:ascii="Arial" w:eastAsia="Arial" w:hAnsi="Arial" w:cs="Arial"/>
          <w:b/>
          <w:color w:val="000000"/>
        </w:rPr>
        <w:t xml:space="preserve"> 4.713,76 </w:t>
      </w:r>
      <w:r w:rsidRPr="002572EC">
        <w:rPr>
          <w:rFonts w:ascii="Arial" w:eastAsia="Arial" w:hAnsi="Arial" w:cs="Arial"/>
          <w:b/>
          <w:color w:val="000000"/>
        </w:rPr>
        <w:t>UVB</w:t>
      </w:r>
      <w:r w:rsidRPr="002572EC">
        <w:rPr>
          <w:rFonts w:ascii="Arial" w:eastAsia="Arial" w:hAnsi="Arial" w:cs="Arial"/>
          <w:color w:val="000000"/>
        </w:rPr>
        <w:t xml:space="preserve"> de acuerdo con la aplicación del modelo matemático de la Resolución MAVDT 2086 de 2010, por las infracciones señaladas en el Auto 4225 del 23 de octubre de 2015.</w:t>
      </w:r>
    </w:p>
    <w:p w:rsidR="002572EC" w:rsidRDefault="002572EC" w:rsidP="002572EC">
      <w:pPr>
        <w:pBdr>
          <w:top w:val="nil"/>
          <w:left w:val="nil"/>
          <w:bottom w:val="nil"/>
          <w:right w:val="nil"/>
          <w:between w:val="nil"/>
        </w:pBdr>
        <w:spacing w:line="360" w:lineRule="auto"/>
        <w:jc w:val="both"/>
        <w:rPr>
          <w:rFonts w:ascii="Arial" w:eastAsia="Arial" w:hAnsi="Arial" w:cs="Arial"/>
        </w:rPr>
      </w:pPr>
    </w:p>
    <w:p w:rsidR="00BB600E" w:rsidRDefault="00B277E4" w:rsidP="002572EC">
      <w:pPr>
        <w:pBdr>
          <w:top w:val="nil"/>
          <w:left w:val="nil"/>
          <w:bottom w:val="nil"/>
          <w:right w:val="nil"/>
          <w:between w:val="nil"/>
        </w:pBdr>
        <w:spacing w:line="360" w:lineRule="auto"/>
        <w:jc w:val="both"/>
        <w:rPr>
          <w:rFonts w:ascii="Arial" w:eastAsia="Arial" w:hAnsi="Arial" w:cs="Arial"/>
          <w:color w:val="000000"/>
        </w:rPr>
      </w:pPr>
      <w:r>
        <w:rPr>
          <w:rFonts w:ascii="Arial" w:eastAsia="Arial" w:hAnsi="Arial" w:cs="Arial"/>
          <w:color w:val="000000"/>
        </w:rPr>
        <w:t>Se recomienda al grupo jurídico se analicen las observaciones de carácter técnico establecidas en el presente informe. Para adoptar la decisión que corresponda dentro del proceso sancionatorio.</w:t>
      </w:r>
    </w:p>
    <w:p w:rsidR="00BB600E" w:rsidRDefault="00BB600E">
      <w:pPr>
        <w:pBdr>
          <w:top w:val="nil"/>
          <w:left w:val="nil"/>
          <w:bottom w:val="nil"/>
          <w:right w:val="nil"/>
          <w:between w:val="nil"/>
        </w:pBdr>
        <w:ind w:left="720"/>
        <w:rPr>
          <w:rFonts w:ascii="Arial" w:eastAsia="Arial" w:hAnsi="Arial" w:cs="Arial"/>
          <w:color w:val="000000"/>
        </w:rPr>
      </w:pPr>
    </w:p>
    <w:p w:rsidR="00BB600E" w:rsidRDefault="00B277E4">
      <w:pPr>
        <w:spacing w:line="360" w:lineRule="auto"/>
        <w:jc w:val="both"/>
        <w:rPr>
          <w:rFonts w:ascii="Arial" w:eastAsia="Arial" w:hAnsi="Arial" w:cs="Arial"/>
        </w:rPr>
      </w:pPr>
      <w:r>
        <w:rPr>
          <w:rFonts w:ascii="Arial" w:eastAsia="Arial" w:hAnsi="Arial" w:cs="Arial"/>
          <w:highlight w:val="yellow"/>
        </w:rPr>
        <w:t>END_OF_EDITABLE_SECTION</w:t>
      </w:r>
    </w:p>
    <w:p w:rsidR="00BB600E" w:rsidRDefault="00BB600E">
      <w:pPr>
        <w:tabs>
          <w:tab w:val="left" w:pos="567"/>
        </w:tabs>
        <w:rPr>
          <w:rFonts w:ascii="Arial" w:eastAsia="Arial" w:hAnsi="Arial" w:cs="Arial"/>
        </w:rPr>
      </w:pPr>
    </w:p>
    <w:p w:rsidR="00BB600E" w:rsidRDefault="00BB600E">
      <w:pPr>
        <w:tabs>
          <w:tab w:val="left" w:pos="567"/>
        </w:tabs>
        <w:rPr>
          <w:rFonts w:ascii="Arial" w:eastAsia="Arial" w:hAnsi="Arial" w:cs="Arial"/>
        </w:rPr>
        <w:sectPr w:rsidR="00BB600E">
          <w:type w:val="continuous"/>
          <w:pgSz w:w="12240" w:h="15840"/>
          <w:pgMar w:top="2268" w:right="1418" w:bottom="2268" w:left="1418" w:header="0" w:footer="0" w:gutter="0"/>
          <w:cols w:space="720"/>
        </w:sectPr>
      </w:pPr>
    </w:p>
    <w:p w:rsidR="00BB600E" w:rsidRDefault="00B277E4">
      <w:pPr>
        <w:tabs>
          <w:tab w:val="left" w:pos="567"/>
        </w:tabs>
        <w:rPr>
          <w:rFonts w:ascii="Arial" w:eastAsia="Arial" w:hAnsi="Arial" w:cs="Arial"/>
          <w:sz w:val="22"/>
          <w:szCs w:val="22"/>
        </w:rPr>
      </w:pPr>
      <w:bookmarkStart w:id="10" w:name="bookmark=id.4d34og8" w:colFirst="0" w:colLast="0"/>
      <w:bookmarkEnd w:id="10"/>
      <w:r>
        <w:rPr>
          <w:noProof/>
          <w:lang w:val="es-CO" w:eastAsia="es-CO"/>
        </w:rPr>
        <w:drawing>
          <wp:inline distT="0" distB="0" distL="0" distR="0">
            <wp:extent cx="3248025" cy="1085850"/>
            <wp:effectExtent l="0" t="0" r="0" b="0"/>
            <wp:docPr id="11"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1"/>
                    <a:srcRect/>
                    <a:stretch>
                      <a:fillRect/>
                    </a:stretch>
                  </pic:blipFill>
                  <pic:spPr>
                    <a:xfrm>
                      <a:off x="0" y="0"/>
                      <a:ext cx="3248025" cy="1085850"/>
                    </a:xfrm>
                    <a:prstGeom prst="rect">
                      <a:avLst/>
                    </a:prstGeom>
                    <a:ln/>
                  </pic:spPr>
                </pic:pic>
              </a:graphicData>
            </a:graphic>
          </wp:inline>
        </w:drawing>
      </w:r>
    </w:p>
    <w:p w:rsidR="00BB600E" w:rsidRDefault="00B277E4">
      <w:pPr>
        <w:rPr>
          <w:rFonts w:ascii="Arial" w:eastAsia="Arial" w:hAnsi="Arial" w:cs="Arial"/>
          <w:b/>
        </w:rPr>
      </w:pPr>
      <w:bookmarkStart w:id="11" w:name="bookmark=id.2s8eyo1" w:colFirst="0" w:colLast="0"/>
      <w:bookmarkEnd w:id="11"/>
      <w:r>
        <w:rPr>
          <w:rFonts w:ascii="Arial" w:eastAsia="Arial" w:hAnsi="Arial" w:cs="Arial"/>
          <w:b/>
        </w:rPr>
        <w:t>NOMBRE DEL REMITENTE</w:t>
      </w:r>
    </w:p>
    <w:p w:rsidR="00BB600E" w:rsidRDefault="00B277E4">
      <w:pPr>
        <w:rPr>
          <w:rFonts w:ascii="Arial" w:eastAsia="Arial" w:hAnsi="Arial" w:cs="Arial"/>
          <w:b/>
        </w:rPr>
      </w:pPr>
      <w:bookmarkStart w:id="12" w:name="bookmark=id.17dp8vu" w:colFirst="0" w:colLast="0"/>
      <w:bookmarkEnd w:id="12"/>
      <w:r>
        <w:rPr>
          <w:rFonts w:ascii="Arial" w:eastAsia="Arial" w:hAnsi="Arial" w:cs="Arial"/>
          <w:b/>
        </w:rPr>
        <w:t>DEPENDENCIA</w:t>
      </w:r>
    </w:p>
    <w:p w:rsidR="00BB600E" w:rsidRDefault="00BB600E">
      <w:pPr>
        <w:rPr>
          <w:rFonts w:ascii="Arial" w:eastAsia="Arial" w:hAnsi="Arial" w:cs="Arial"/>
          <w:sz w:val="22"/>
          <w:szCs w:val="22"/>
        </w:rPr>
        <w:sectPr w:rsidR="00BB600E">
          <w:type w:val="continuous"/>
          <w:pgSz w:w="12240" w:h="15840"/>
          <w:pgMar w:top="2268" w:right="1418" w:bottom="2268" w:left="1418" w:header="0" w:footer="0" w:gutter="0"/>
          <w:cols w:space="720"/>
        </w:sectPr>
      </w:pPr>
    </w:p>
    <w:p w:rsidR="00BB600E" w:rsidRDefault="00B277E4">
      <w:pPr>
        <w:rPr>
          <w:rFonts w:ascii="Arial" w:eastAsia="Arial" w:hAnsi="Arial" w:cs="Arial"/>
          <w:i/>
          <w:sz w:val="16"/>
          <w:szCs w:val="16"/>
        </w:rPr>
      </w:pPr>
      <w:bookmarkStart w:id="13" w:name="bookmark=id.3rdcrjn" w:colFirst="0" w:colLast="0"/>
      <w:bookmarkEnd w:id="13"/>
      <w:r>
        <w:rPr>
          <w:rFonts w:ascii="Arial" w:eastAsia="Arial" w:hAnsi="Arial" w:cs="Arial"/>
          <w:i/>
          <w:sz w:val="16"/>
          <w:szCs w:val="16"/>
        </w:rPr>
        <w:t>Traza</w:t>
      </w:r>
    </w:p>
    <w:p w:rsidR="00BB600E" w:rsidRDefault="00BB600E">
      <w:pPr>
        <w:rPr>
          <w:rFonts w:ascii="Arial" w:eastAsia="Arial" w:hAnsi="Arial" w:cs="Arial"/>
          <w:i/>
          <w:sz w:val="16"/>
          <w:szCs w:val="16"/>
        </w:rPr>
        <w:sectPr w:rsidR="00BB600E">
          <w:type w:val="continuous"/>
          <w:pgSz w:w="12240" w:h="15840"/>
          <w:pgMar w:top="2268" w:right="1418" w:bottom="2268" w:left="1418" w:header="0" w:footer="0" w:gutter="0"/>
          <w:cols w:space="720"/>
        </w:sectPr>
      </w:pPr>
    </w:p>
    <w:p w:rsidR="00BB600E" w:rsidRDefault="00BB600E">
      <w:pPr>
        <w:rPr>
          <w:rFonts w:ascii="Arial" w:eastAsia="Arial" w:hAnsi="Arial" w:cs="Arial"/>
          <w:i/>
          <w:sz w:val="22"/>
          <w:szCs w:val="22"/>
        </w:rPr>
      </w:pPr>
    </w:p>
    <w:sectPr w:rsidR="00BB600E">
      <w:type w:val="continuous"/>
      <w:pgSz w:w="12240" w:h="15840"/>
      <w:pgMar w:top="2268" w:right="1418" w:bottom="2268" w:left="1418"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191F" w:rsidRDefault="005C191F">
      <w:r>
        <w:separator/>
      </w:r>
    </w:p>
  </w:endnote>
  <w:endnote w:type="continuationSeparator" w:id="0">
    <w:p w:rsidR="005C191F" w:rsidRDefault="005C1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600E" w:rsidRDefault="00B277E4">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8306FA">
      <w:rPr>
        <w:noProof/>
        <w:color w:val="000000"/>
      </w:rPr>
      <w:t>10</w:t>
    </w:r>
    <w:r>
      <w:rPr>
        <w:color w:val="000000"/>
      </w:rPr>
      <w:fldChar w:fldCharType="end"/>
    </w:r>
  </w:p>
  <w:p w:rsidR="00BB600E" w:rsidRDefault="00BB600E">
    <w:pPr>
      <w:pBdr>
        <w:top w:val="nil"/>
        <w:left w:val="nil"/>
        <w:bottom w:val="nil"/>
        <w:right w:val="nil"/>
        <w:between w:val="nil"/>
      </w:pBdr>
      <w:tabs>
        <w:tab w:val="center" w:pos="4252"/>
        <w:tab w:val="right" w:pos="8504"/>
      </w:tabs>
      <w:jc w:val="center"/>
      <w:rPr>
        <w:rFonts w:ascii="Arial" w:eastAsia="Arial" w:hAnsi="Arial" w:cs="Arial"/>
        <w:color w:val="000000"/>
        <w:sz w:val="16"/>
        <w:szCs w:val="16"/>
      </w:rPr>
    </w:pPr>
    <w:bookmarkStart w:id="1" w:name="bookmark=id.lnxbz9" w:colFirst="0" w:colLast="0"/>
    <w:bookmarkEnd w:id="1"/>
  </w:p>
  <w:tbl>
    <w:tblPr>
      <w:tblStyle w:val="aa"/>
      <w:tblW w:w="9384" w:type="dxa"/>
      <w:tblInd w:w="0" w:type="dxa"/>
      <w:tblLayout w:type="fixed"/>
      <w:tblLook w:val="0000" w:firstRow="0" w:lastRow="0" w:firstColumn="0" w:lastColumn="0" w:noHBand="0" w:noVBand="0"/>
    </w:tblPr>
    <w:tblGrid>
      <w:gridCol w:w="4824"/>
      <w:gridCol w:w="4560"/>
    </w:tblGrid>
    <w:tr w:rsidR="00BB600E">
      <w:trPr>
        <w:trHeight w:val="1320"/>
      </w:trPr>
      <w:tc>
        <w:tcPr>
          <w:tcW w:w="4824" w:type="dxa"/>
          <w:tcMar>
            <w:top w:w="0" w:type="dxa"/>
            <w:left w:w="0" w:type="dxa"/>
            <w:bottom w:w="0" w:type="dxa"/>
            <w:right w:w="0" w:type="dxa"/>
          </w:tcMar>
          <w:vAlign w:val="center"/>
        </w:tcPr>
        <w:p w:rsidR="00BB600E" w:rsidRDefault="00B277E4">
          <w:pPr>
            <w:pBdr>
              <w:top w:val="nil"/>
              <w:left w:val="nil"/>
              <w:bottom w:val="nil"/>
              <w:right w:val="nil"/>
              <w:between w:val="nil"/>
            </w:pBdr>
            <w:rPr>
              <w:color w:val="000000"/>
              <w:sz w:val="20"/>
              <w:szCs w:val="20"/>
            </w:rPr>
          </w:pPr>
          <w:r>
            <w:rPr>
              <w:color w:val="000000"/>
              <w:sz w:val="20"/>
              <w:szCs w:val="20"/>
            </w:rPr>
            <w:fldChar w:fldCharType="begin"/>
          </w:r>
          <w:r>
            <w:rPr>
              <w:color w:val="000000"/>
              <w:sz w:val="20"/>
              <w:szCs w:val="20"/>
            </w:rPr>
            <w:instrText xml:space="preserve"> INCLUDEPICTURE  "ooxWord://media/image1.JPEG" \* MERGEFORMATINET </w:instrText>
          </w:r>
          <w:r>
            <w:rPr>
              <w:color w:val="000000"/>
              <w:sz w:val="20"/>
              <w:szCs w:val="20"/>
            </w:rPr>
            <w:fldChar w:fldCharType="separate"/>
          </w:r>
          <w:r w:rsidR="00DD7AD9">
            <w:rPr>
              <w:color w:val="000000"/>
              <w:sz w:val="20"/>
              <w:szCs w:val="20"/>
            </w:rPr>
            <w:fldChar w:fldCharType="begin"/>
          </w:r>
          <w:r w:rsidR="00DD7AD9">
            <w:rPr>
              <w:color w:val="000000"/>
              <w:sz w:val="20"/>
              <w:szCs w:val="20"/>
            </w:rPr>
            <w:instrText xml:space="preserve"> INCLUDEPICTURE  "ooxWord://media/image1.JPEG" \* MERGEFORMATINET </w:instrText>
          </w:r>
          <w:r w:rsidR="00DD7AD9">
            <w:rPr>
              <w:color w:val="000000"/>
              <w:sz w:val="20"/>
              <w:szCs w:val="20"/>
            </w:rPr>
            <w:fldChar w:fldCharType="separate"/>
          </w:r>
          <w:r w:rsidR="00145BA4">
            <w:rPr>
              <w:color w:val="000000"/>
              <w:sz w:val="20"/>
              <w:szCs w:val="20"/>
            </w:rPr>
            <w:fldChar w:fldCharType="begin"/>
          </w:r>
          <w:r w:rsidR="00145BA4">
            <w:rPr>
              <w:color w:val="000000"/>
              <w:sz w:val="20"/>
              <w:szCs w:val="20"/>
            </w:rPr>
            <w:instrText xml:space="preserve"> INCLUDEPICTURE  "ooxWord://media/image1.JPEG" \* MERGEFORMATINET </w:instrText>
          </w:r>
          <w:r w:rsidR="00145BA4">
            <w:rPr>
              <w:color w:val="000000"/>
              <w:sz w:val="20"/>
              <w:szCs w:val="20"/>
            </w:rPr>
            <w:fldChar w:fldCharType="separate"/>
          </w:r>
          <w:r w:rsidR="00A724F9">
            <w:rPr>
              <w:color w:val="000000"/>
              <w:sz w:val="20"/>
              <w:szCs w:val="20"/>
            </w:rPr>
            <w:fldChar w:fldCharType="begin"/>
          </w:r>
          <w:r w:rsidR="00A724F9">
            <w:rPr>
              <w:color w:val="000000"/>
              <w:sz w:val="20"/>
              <w:szCs w:val="20"/>
            </w:rPr>
            <w:instrText xml:space="preserve"> INCLUDEPICTURE  "ooxWord://media/image1.JPEG" \* MERGEFORMATINET </w:instrText>
          </w:r>
          <w:r w:rsidR="00A724F9">
            <w:rPr>
              <w:color w:val="000000"/>
              <w:sz w:val="20"/>
              <w:szCs w:val="20"/>
            </w:rPr>
            <w:fldChar w:fldCharType="separate"/>
          </w:r>
          <w:r w:rsidR="005C191F">
            <w:rPr>
              <w:color w:val="000000"/>
              <w:sz w:val="20"/>
              <w:szCs w:val="20"/>
            </w:rPr>
            <w:fldChar w:fldCharType="begin"/>
          </w:r>
          <w:r w:rsidR="005C191F">
            <w:rPr>
              <w:color w:val="000000"/>
              <w:sz w:val="20"/>
              <w:szCs w:val="20"/>
            </w:rPr>
            <w:instrText xml:space="preserve"> </w:instrText>
          </w:r>
          <w:r w:rsidR="005C191F">
            <w:rPr>
              <w:color w:val="000000"/>
              <w:sz w:val="20"/>
              <w:szCs w:val="20"/>
            </w:rPr>
            <w:instrText>INCLUDEPICTURE  "ooxWord://media/image1.JPEG" \* MERGEFORMATINET</w:instrText>
          </w:r>
          <w:r w:rsidR="005C191F">
            <w:rPr>
              <w:color w:val="000000"/>
              <w:sz w:val="20"/>
              <w:szCs w:val="20"/>
            </w:rPr>
            <w:instrText xml:space="preserve"> </w:instrText>
          </w:r>
          <w:r w:rsidR="005C191F">
            <w:rPr>
              <w:color w:val="000000"/>
              <w:sz w:val="20"/>
              <w:szCs w:val="20"/>
            </w:rPr>
            <w:fldChar w:fldCharType="separate"/>
          </w:r>
          <w:r w:rsidR="008306FA">
            <w:rPr>
              <w:color w:val="000000"/>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6pt;height:57.6pt">
                <v:imagedata r:id="rId1" r:href="rId2"/>
              </v:shape>
            </w:pict>
          </w:r>
          <w:r w:rsidR="005C191F">
            <w:rPr>
              <w:color w:val="000000"/>
              <w:sz w:val="20"/>
              <w:szCs w:val="20"/>
            </w:rPr>
            <w:fldChar w:fldCharType="end"/>
          </w:r>
          <w:r w:rsidR="00A724F9">
            <w:rPr>
              <w:color w:val="000000"/>
              <w:sz w:val="20"/>
              <w:szCs w:val="20"/>
            </w:rPr>
            <w:fldChar w:fldCharType="end"/>
          </w:r>
          <w:r w:rsidR="00145BA4">
            <w:rPr>
              <w:color w:val="000000"/>
              <w:sz w:val="20"/>
              <w:szCs w:val="20"/>
            </w:rPr>
            <w:fldChar w:fldCharType="end"/>
          </w:r>
          <w:r w:rsidR="00DD7AD9">
            <w:rPr>
              <w:color w:val="000000"/>
              <w:sz w:val="20"/>
              <w:szCs w:val="20"/>
            </w:rPr>
            <w:fldChar w:fldCharType="end"/>
          </w:r>
          <w:r>
            <w:rPr>
              <w:color w:val="000000"/>
              <w:sz w:val="20"/>
              <w:szCs w:val="20"/>
            </w:rPr>
            <w:fldChar w:fldCharType="end"/>
          </w:r>
        </w:p>
      </w:tc>
      <w:tc>
        <w:tcPr>
          <w:tcW w:w="4560" w:type="dxa"/>
          <w:tcMar>
            <w:top w:w="0" w:type="dxa"/>
            <w:left w:w="0" w:type="dxa"/>
            <w:bottom w:w="0" w:type="dxa"/>
            <w:right w:w="0" w:type="dxa"/>
          </w:tcMar>
          <w:vAlign w:val="center"/>
        </w:tcPr>
        <w:p w:rsidR="00BB600E" w:rsidRDefault="00B277E4">
          <w:pPr>
            <w:pBdr>
              <w:top w:val="nil"/>
              <w:left w:val="nil"/>
              <w:bottom w:val="nil"/>
              <w:right w:val="nil"/>
              <w:between w:val="nil"/>
            </w:pBdr>
            <w:jc w:val="right"/>
            <w:rPr>
              <w:color w:val="000000"/>
              <w:sz w:val="20"/>
              <w:szCs w:val="20"/>
            </w:rPr>
          </w:pPr>
          <w:r>
            <w:rPr>
              <w:color w:val="000000"/>
              <w:sz w:val="20"/>
              <w:szCs w:val="20"/>
            </w:rPr>
            <w:fldChar w:fldCharType="begin"/>
          </w:r>
          <w:r>
            <w:rPr>
              <w:color w:val="000000"/>
              <w:sz w:val="20"/>
              <w:szCs w:val="20"/>
            </w:rPr>
            <w:instrText xml:space="preserve"> INCLUDEPICTURE  "ooxWord://media/image2.JPEG" \* MERGEFORMATINET </w:instrText>
          </w:r>
          <w:r>
            <w:rPr>
              <w:color w:val="000000"/>
              <w:sz w:val="20"/>
              <w:szCs w:val="20"/>
            </w:rPr>
            <w:fldChar w:fldCharType="separate"/>
          </w:r>
          <w:r w:rsidR="00DD7AD9">
            <w:rPr>
              <w:color w:val="000000"/>
              <w:sz w:val="20"/>
              <w:szCs w:val="20"/>
            </w:rPr>
            <w:fldChar w:fldCharType="begin"/>
          </w:r>
          <w:r w:rsidR="00DD7AD9">
            <w:rPr>
              <w:color w:val="000000"/>
              <w:sz w:val="20"/>
              <w:szCs w:val="20"/>
            </w:rPr>
            <w:instrText xml:space="preserve"> INCLUDEPICTURE  "ooxWord://media/image2.JPEG" \* MERGEFORMATINET </w:instrText>
          </w:r>
          <w:r w:rsidR="00DD7AD9">
            <w:rPr>
              <w:color w:val="000000"/>
              <w:sz w:val="20"/>
              <w:szCs w:val="20"/>
            </w:rPr>
            <w:fldChar w:fldCharType="separate"/>
          </w:r>
          <w:r w:rsidR="00145BA4">
            <w:rPr>
              <w:color w:val="000000"/>
              <w:sz w:val="20"/>
              <w:szCs w:val="20"/>
            </w:rPr>
            <w:fldChar w:fldCharType="begin"/>
          </w:r>
          <w:r w:rsidR="00145BA4">
            <w:rPr>
              <w:color w:val="000000"/>
              <w:sz w:val="20"/>
              <w:szCs w:val="20"/>
            </w:rPr>
            <w:instrText xml:space="preserve"> INCLUDEPICTURE  "ooxWord://media/image2.JPEG" \* MERGEFORMATINET </w:instrText>
          </w:r>
          <w:r w:rsidR="00145BA4">
            <w:rPr>
              <w:color w:val="000000"/>
              <w:sz w:val="20"/>
              <w:szCs w:val="20"/>
            </w:rPr>
            <w:fldChar w:fldCharType="separate"/>
          </w:r>
          <w:r w:rsidR="00A724F9">
            <w:rPr>
              <w:color w:val="000000"/>
              <w:sz w:val="20"/>
              <w:szCs w:val="20"/>
            </w:rPr>
            <w:fldChar w:fldCharType="begin"/>
          </w:r>
          <w:r w:rsidR="00A724F9">
            <w:rPr>
              <w:color w:val="000000"/>
              <w:sz w:val="20"/>
              <w:szCs w:val="20"/>
            </w:rPr>
            <w:instrText xml:space="preserve"> INCLUDEPICTURE  "ooxWord://media/image2.JPEG" \* MERGEFORMATINET </w:instrText>
          </w:r>
          <w:r w:rsidR="00A724F9">
            <w:rPr>
              <w:color w:val="000000"/>
              <w:sz w:val="20"/>
              <w:szCs w:val="20"/>
            </w:rPr>
            <w:fldChar w:fldCharType="separate"/>
          </w:r>
          <w:r w:rsidR="005C191F">
            <w:rPr>
              <w:color w:val="000000"/>
              <w:sz w:val="20"/>
              <w:szCs w:val="20"/>
            </w:rPr>
            <w:fldChar w:fldCharType="begin"/>
          </w:r>
          <w:r w:rsidR="005C191F">
            <w:rPr>
              <w:color w:val="000000"/>
              <w:sz w:val="20"/>
              <w:szCs w:val="20"/>
            </w:rPr>
            <w:instrText xml:space="preserve"> </w:instrText>
          </w:r>
          <w:r w:rsidR="005C191F">
            <w:rPr>
              <w:color w:val="000000"/>
              <w:sz w:val="20"/>
              <w:szCs w:val="20"/>
            </w:rPr>
            <w:instrText>INCLUDEPICTURE  "ooxWord://media/image2.JPEG" \* MERGEFORMATINET</w:instrText>
          </w:r>
          <w:r w:rsidR="005C191F">
            <w:rPr>
              <w:color w:val="000000"/>
              <w:sz w:val="20"/>
              <w:szCs w:val="20"/>
            </w:rPr>
            <w:instrText xml:space="preserve"> </w:instrText>
          </w:r>
          <w:r w:rsidR="005C191F">
            <w:rPr>
              <w:color w:val="000000"/>
              <w:sz w:val="20"/>
              <w:szCs w:val="20"/>
            </w:rPr>
            <w:fldChar w:fldCharType="separate"/>
          </w:r>
          <w:r w:rsidR="008306FA">
            <w:rPr>
              <w:color w:val="000000"/>
              <w:sz w:val="20"/>
              <w:szCs w:val="20"/>
            </w:rPr>
            <w:pict>
              <v:shape id="_x0000_i1027" type="#_x0000_t75" style="width:122.4pt;height:64.8pt">
                <v:imagedata r:id="rId3" r:href="rId4"/>
              </v:shape>
            </w:pict>
          </w:r>
          <w:r w:rsidR="005C191F">
            <w:rPr>
              <w:color w:val="000000"/>
              <w:sz w:val="20"/>
              <w:szCs w:val="20"/>
            </w:rPr>
            <w:fldChar w:fldCharType="end"/>
          </w:r>
          <w:r w:rsidR="00A724F9">
            <w:rPr>
              <w:color w:val="000000"/>
              <w:sz w:val="20"/>
              <w:szCs w:val="20"/>
            </w:rPr>
            <w:fldChar w:fldCharType="end"/>
          </w:r>
          <w:r w:rsidR="00145BA4">
            <w:rPr>
              <w:color w:val="000000"/>
              <w:sz w:val="20"/>
              <w:szCs w:val="20"/>
            </w:rPr>
            <w:fldChar w:fldCharType="end"/>
          </w:r>
          <w:r w:rsidR="00DD7AD9">
            <w:rPr>
              <w:color w:val="000000"/>
              <w:sz w:val="20"/>
              <w:szCs w:val="20"/>
            </w:rPr>
            <w:fldChar w:fldCharType="end"/>
          </w:r>
          <w:r>
            <w:rPr>
              <w:color w:val="000000"/>
              <w:sz w:val="20"/>
              <w:szCs w:val="20"/>
            </w:rPr>
            <w:fldChar w:fldCharType="end"/>
          </w:r>
        </w:p>
      </w:tc>
    </w:tr>
  </w:tbl>
  <w:p w:rsidR="00BB600E" w:rsidRDefault="00BB600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191F" w:rsidRDefault="005C191F">
      <w:r>
        <w:separator/>
      </w:r>
    </w:p>
  </w:footnote>
  <w:footnote w:type="continuationSeparator" w:id="0">
    <w:p w:rsidR="005C191F" w:rsidRDefault="005C19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600E" w:rsidRDefault="00BB600E">
    <w:pPr>
      <w:pBdr>
        <w:top w:val="nil"/>
        <w:left w:val="nil"/>
        <w:bottom w:val="nil"/>
        <w:right w:val="nil"/>
        <w:between w:val="nil"/>
      </w:pBdr>
      <w:tabs>
        <w:tab w:val="center" w:pos="4252"/>
        <w:tab w:val="right" w:pos="8504"/>
      </w:tabs>
      <w:jc w:val="center"/>
      <w:rPr>
        <w:color w:val="FFFFFF"/>
      </w:rPr>
    </w:pPr>
    <w:bookmarkStart w:id="0" w:name="bookmark=id.26in1rg" w:colFirst="0" w:colLast="0"/>
    <w:bookmarkEnd w:id="0"/>
  </w:p>
  <w:tbl>
    <w:tblPr>
      <w:tblStyle w:val="a9"/>
      <w:tblW w:w="9406" w:type="dxa"/>
      <w:tblInd w:w="0" w:type="dxa"/>
      <w:tblLayout w:type="fixed"/>
      <w:tblLook w:val="0000" w:firstRow="0" w:lastRow="0" w:firstColumn="0" w:lastColumn="0" w:noHBand="0" w:noVBand="0"/>
    </w:tblPr>
    <w:tblGrid>
      <w:gridCol w:w="9406"/>
    </w:tblGrid>
    <w:tr w:rsidR="00BB600E">
      <w:tc>
        <w:tcPr>
          <w:tcW w:w="9406" w:type="dxa"/>
          <w:tcMar>
            <w:top w:w="160" w:type="dxa"/>
            <w:left w:w="0" w:type="dxa"/>
            <w:bottom w:w="0" w:type="dxa"/>
            <w:right w:w="0" w:type="dxa"/>
          </w:tcMar>
        </w:tcPr>
        <w:p w:rsidR="00BB600E" w:rsidRDefault="00B277E4">
          <w:pPr>
            <w:pBdr>
              <w:top w:val="nil"/>
              <w:left w:val="nil"/>
              <w:bottom w:val="nil"/>
              <w:right w:val="nil"/>
              <w:between w:val="nil"/>
            </w:pBdr>
            <w:jc w:val="center"/>
            <w:rPr>
              <w:color w:val="000000"/>
              <w:sz w:val="20"/>
              <w:szCs w:val="20"/>
            </w:rPr>
          </w:pPr>
          <w:r>
            <w:rPr>
              <w:color w:val="000000"/>
              <w:sz w:val="20"/>
              <w:szCs w:val="20"/>
            </w:rPr>
            <w:fldChar w:fldCharType="begin"/>
          </w:r>
          <w:r>
            <w:rPr>
              <w:color w:val="000000"/>
              <w:sz w:val="20"/>
              <w:szCs w:val="20"/>
            </w:rPr>
            <w:instrText xml:space="preserve"> INCLUDEPICTURE  "ooxWord://media/image1.JPEG" \* MERGEFORMATINET </w:instrText>
          </w:r>
          <w:r>
            <w:rPr>
              <w:color w:val="000000"/>
              <w:sz w:val="20"/>
              <w:szCs w:val="20"/>
            </w:rPr>
            <w:fldChar w:fldCharType="separate"/>
          </w:r>
          <w:r w:rsidR="00DD7AD9">
            <w:rPr>
              <w:color w:val="000000"/>
              <w:sz w:val="20"/>
              <w:szCs w:val="20"/>
            </w:rPr>
            <w:fldChar w:fldCharType="begin"/>
          </w:r>
          <w:r w:rsidR="00DD7AD9">
            <w:rPr>
              <w:color w:val="000000"/>
              <w:sz w:val="20"/>
              <w:szCs w:val="20"/>
            </w:rPr>
            <w:instrText xml:space="preserve"> INCLUDEPICTURE  "ooxWord://media/image1.JPEG" \* MERGEFORMATINET </w:instrText>
          </w:r>
          <w:r w:rsidR="00DD7AD9">
            <w:rPr>
              <w:color w:val="000000"/>
              <w:sz w:val="20"/>
              <w:szCs w:val="20"/>
            </w:rPr>
            <w:fldChar w:fldCharType="separate"/>
          </w:r>
          <w:r w:rsidR="00145BA4">
            <w:rPr>
              <w:color w:val="000000"/>
              <w:sz w:val="20"/>
              <w:szCs w:val="20"/>
            </w:rPr>
            <w:fldChar w:fldCharType="begin"/>
          </w:r>
          <w:r w:rsidR="00145BA4">
            <w:rPr>
              <w:color w:val="000000"/>
              <w:sz w:val="20"/>
              <w:szCs w:val="20"/>
            </w:rPr>
            <w:instrText xml:space="preserve"> INCLUDEPICTURE  "ooxWord://media/image1.JPEG" \* MERGEFORMATINET </w:instrText>
          </w:r>
          <w:r w:rsidR="00145BA4">
            <w:rPr>
              <w:color w:val="000000"/>
              <w:sz w:val="20"/>
              <w:szCs w:val="20"/>
            </w:rPr>
            <w:fldChar w:fldCharType="separate"/>
          </w:r>
          <w:r w:rsidR="00A724F9">
            <w:rPr>
              <w:color w:val="000000"/>
              <w:sz w:val="20"/>
              <w:szCs w:val="20"/>
            </w:rPr>
            <w:fldChar w:fldCharType="begin"/>
          </w:r>
          <w:r w:rsidR="00A724F9">
            <w:rPr>
              <w:color w:val="000000"/>
              <w:sz w:val="20"/>
              <w:szCs w:val="20"/>
            </w:rPr>
            <w:instrText xml:space="preserve"> INCLUDEPICTURE  "ooxWord://media/image1.JPEG" \* MERGEFORMATINET </w:instrText>
          </w:r>
          <w:r w:rsidR="00A724F9">
            <w:rPr>
              <w:color w:val="000000"/>
              <w:sz w:val="20"/>
              <w:szCs w:val="20"/>
            </w:rPr>
            <w:fldChar w:fldCharType="separate"/>
          </w:r>
          <w:r w:rsidR="005C191F">
            <w:rPr>
              <w:color w:val="000000"/>
              <w:sz w:val="20"/>
              <w:szCs w:val="20"/>
            </w:rPr>
            <w:fldChar w:fldCharType="begin"/>
          </w:r>
          <w:r w:rsidR="005C191F">
            <w:rPr>
              <w:color w:val="000000"/>
              <w:sz w:val="20"/>
              <w:szCs w:val="20"/>
            </w:rPr>
            <w:instrText xml:space="preserve"> </w:instrText>
          </w:r>
          <w:r w:rsidR="005C191F">
            <w:rPr>
              <w:color w:val="000000"/>
              <w:sz w:val="20"/>
              <w:szCs w:val="20"/>
            </w:rPr>
            <w:instrText>INCLUDEPICTURE  "ooxWord://media/image1.JPEG" \* MERGEFORMATINET</w:instrText>
          </w:r>
          <w:r w:rsidR="005C191F">
            <w:rPr>
              <w:color w:val="000000"/>
              <w:sz w:val="20"/>
              <w:szCs w:val="20"/>
            </w:rPr>
            <w:instrText xml:space="preserve"> </w:instrText>
          </w:r>
          <w:r w:rsidR="005C191F">
            <w:rPr>
              <w:color w:val="000000"/>
              <w:sz w:val="20"/>
              <w:szCs w:val="20"/>
            </w:rPr>
            <w:fldChar w:fldCharType="separate"/>
          </w:r>
          <w:r w:rsidR="008306FA">
            <w:rPr>
              <w:color w:val="000000"/>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4pt;height:57.6pt">
                <v:imagedata r:id="rId1" r:href="rId2"/>
              </v:shape>
            </w:pict>
          </w:r>
          <w:r w:rsidR="005C191F">
            <w:rPr>
              <w:color w:val="000000"/>
              <w:sz w:val="20"/>
              <w:szCs w:val="20"/>
            </w:rPr>
            <w:fldChar w:fldCharType="end"/>
          </w:r>
          <w:r w:rsidR="00A724F9">
            <w:rPr>
              <w:color w:val="000000"/>
              <w:sz w:val="20"/>
              <w:szCs w:val="20"/>
            </w:rPr>
            <w:fldChar w:fldCharType="end"/>
          </w:r>
          <w:r w:rsidR="00145BA4">
            <w:rPr>
              <w:color w:val="000000"/>
              <w:sz w:val="20"/>
              <w:szCs w:val="20"/>
            </w:rPr>
            <w:fldChar w:fldCharType="end"/>
          </w:r>
          <w:r w:rsidR="00DD7AD9">
            <w:rPr>
              <w:color w:val="000000"/>
              <w:sz w:val="20"/>
              <w:szCs w:val="20"/>
            </w:rPr>
            <w:fldChar w:fldCharType="end"/>
          </w:r>
          <w:r>
            <w:rPr>
              <w:color w:val="000000"/>
              <w:sz w:val="20"/>
              <w:szCs w:val="20"/>
            </w:rPr>
            <w:fldChar w:fldCharType="end"/>
          </w:r>
        </w:p>
      </w:tc>
    </w:tr>
  </w:tbl>
  <w:p w:rsidR="00BB600E" w:rsidRDefault="00BB600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9D6932"/>
    <w:multiLevelType w:val="multilevel"/>
    <w:tmpl w:val="E4EEFD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D6A65C7"/>
    <w:multiLevelType w:val="multilevel"/>
    <w:tmpl w:val="A250617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D7B0911"/>
    <w:multiLevelType w:val="multilevel"/>
    <w:tmpl w:val="F26483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5A2E628C"/>
    <w:multiLevelType w:val="multilevel"/>
    <w:tmpl w:val="CA3CE3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E7444CB"/>
    <w:multiLevelType w:val="multilevel"/>
    <w:tmpl w:val="E2E4EF54"/>
    <w:lvl w:ilvl="0">
      <w:start w:val="6"/>
      <w:numFmt w:val="decimal"/>
      <w:lvlText w:val="%1."/>
      <w:lvlJc w:val="left"/>
      <w:pPr>
        <w:ind w:left="400" w:hanging="400"/>
      </w:pPr>
    </w:lvl>
    <w:lvl w:ilvl="1">
      <w:start w:val="1"/>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00E"/>
    <w:rsid w:val="00066A51"/>
    <w:rsid w:val="00104354"/>
    <w:rsid w:val="00145BA4"/>
    <w:rsid w:val="002351FA"/>
    <w:rsid w:val="002572EC"/>
    <w:rsid w:val="00577AEE"/>
    <w:rsid w:val="005C191F"/>
    <w:rsid w:val="007D0E11"/>
    <w:rsid w:val="008306FA"/>
    <w:rsid w:val="00A724F9"/>
    <w:rsid w:val="00A8598B"/>
    <w:rsid w:val="00B277E4"/>
    <w:rsid w:val="00BB600E"/>
    <w:rsid w:val="00C17F32"/>
    <w:rsid w:val="00C42348"/>
    <w:rsid w:val="00DB7419"/>
    <w:rsid w:val="00DD7AD9"/>
    <w:rsid w:val="00DE7071"/>
    <w:rsid w:val="00ED24BB"/>
    <w:rsid w:val="00EF654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61B5756-F078-450E-805C-BCB9C9373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1B59"/>
    <w:rPr>
      <w:lang w:eastAsia="es-ES"/>
    </w:rPr>
  </w:style>
  <w:style w:type="paragraph" w:styleId="Ttulo1">
    <w:name w:val="heading 1"/>
    <w:basedOn w:val="Normal"/>
    <w:next w:val="Normal"/>
    <w:link w:val="Ttulo1Car"/>
    <w:uiPriority w:val="9"/>
    <w:qFormat/>
    <w:rsid w:val="00745CAC"/>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745CAC"/>
    <w:pPr>
      <w:keepNext/>
      <w:spacing w:before="240" w:after="60" w:line="276" w:lineRule="auto"/>
      <w:outlineLvl w:val="1"/>
    </w:pPr>
    <w:rPr>
      <w:rFonts w:ascii="Arial" w:eastAsiaTheme="majorEastAsia" w:hAnsi="Arial" w:cstheme="majorBidi"/>
      <w:b/>
      <w:bCs/>
      <w:iCs/>
      <w:sz w:val="22"/>
      <w:szCs w:val="28"/>
      <w:lang w:val="es-ES" w:eastAsia="en-US"/>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uiPriority w:val="1"/>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paragraph" w:styleId="Prrafodelista">
    <w:name w:val="List Paragraph"/>
    <w:basedOn w:val="Normal"/>
    <w:uiPriority w:val="34"/>
    <w:qFormat/>
    <w:rsid w:val="003B36C6"/>
    <w:pPr>
      <w:ind w:left="720"/>
      <w:contextualSpacing/>
    </w:pPr>
  </w:style>
  <w:style w:type="character" w:customStyle="1" w:styleId="Ttulo1Car">
    <w:name w:val="Título 1 Car"/>
    <w:basedOn w:val="Fuentedeprrafopredeter"/>
    <w:link w:val="Ttulo1"/>
    <w:uiPriority w:val="9"/>
    <w:rsid w:val="00745CAC"/>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745CAC"/>
    <w:rPr>
      <w:rFonts w:ascii="Arial" w:eastAsiaTheme="majorEastAsia" w:hAnsi="Arial" w:cstheme="majorBidi"/>
      <w:b/>
      <w:bCs/>
      <w:iCs/>
      <w:sz w:val="22"/>
      <w:szCs w:val="28"/>
      <w:lang w:val="es-ES" w:eastAsia="en-US"/>
    </w:rPr>
  </w:style>
  <w:style w:type="paragraph" w:customStyle="1" w:styleId="contenido">
    <w:name w:val="contenido"/>
    <w:basedOn w:val="Normal"/>
    <w:rsid w:val="00745CAC"/>
    <w:pPr>
      <w:spacing w:before="100" w:beforeAutospacing="1" w:after="100" w:afterAutospacing="1"/>
    </w:pPr>
    <w:rPr>
      <w:lang w:val="es-CO" w:eastAsia="es-CO"/>
    </w:rPr>
  </w:style>
  <w:style w:type="character" w:styleId="Textodelmarcadordeposicin">
    <w:name w:val="Placeholder Text"/>
    <w:basedOn w:val="Fuentedeprrafopredeter"/>
    <w:uiPriority w:val="99"/>
    <w:semiHidden/>
    <w:rsid w:val="00CD6E92"/>
    <w:rPr>
      <w:color w:val="666666"/>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top w:w="15" w:type="dxa"/>
        <w:left w:w="15" w:type="dxa"/>
        <w:bottom w:w="15" w:type="dxa"/>
        <w:right w:w="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70" w:type="dxa"/>
        <w:right w:w="70"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4488681">
      <w:bodyDiv w:val="1"/>
      <w:marLeft w:val="0"/>
      <w:marRight w:val="0"/>
      <w:marTop w:val="0"/>
      <w:marBottom w:val="0"/>
      <w:divBdr>
        <w:top w:val="none" w:sz="0" w:space="0" w:color="auto"/>
        <w:left w:val="none" w:sz="0" w:space="0" w:color="auto"/>
        <w:bottom w:val="none" w:sz="0" w:space="0" w:color="auto"/>
        <w:right w:val="none" w:sz="0" w:space="0" w:color="auto"/>
      </w:divBdr>
    </w:div>
    <w:div w:id="14800322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SiCRTl71Xu/eotM4puNffpXTiw==">CgMxLjAyCWlkLmdqZGd4czIKaWQuMzBqMHpsbDIKaWQuMWZvYjl0ZTIKaWQuM3pueXNoNzIKaWQuMmV0OTJwMDIIaC50eWpjd3QyCWguM2R5NnZrbTIJaC4xdDNoNXNmMgppZC40ZDM0b2c4MgppZC4yczhleW8xMgppZC4xN2RwOHZ1MgppZC4zcmRjcmpuMgppZC4yNmluMXJnMglpZC5sbnhiejk4AHIhMUxUc1p3MHdyUmxEbzZLb1NiN2QtdkFwdHhjRTNVLUZD</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1</Pages>
  <Words>3065</Words>
  <Characters>16862</Characters>
  <Application>Microsoft Office Word</Application>
  <DocSecurity>0</DocSecurity>
  <Lines>140</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Luis Zamora</dc:creator>
  <cp:lastModifiedBy>Cuenta Microsoft</cp:lastModifiedBy>
  <cp:revision>15</cp:revision>
  <dcterms:created xsi:type="dcterms:W3CDTF">2024-04-09T01:59:00Z</dcterms:created>
  <dcterms:modified xsi:type="dcterms:W3CDTF">2024-12-09T15:24:00Z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